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09081">
      <w:pPr>
        <w:jc w:val="center"/>
        <w:rPr>
          <w:rFonts w:hint="eastAsia" w:ascii="宋体" w:hAnsi="宋体"/>
          <w:b/>
          <w:color w:val="auto"/>
          <w:sz w:val="72"/>
          <w:highlight w:val="none"/>
        </w:rPr>
      </w:pPr>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669AD429">
      <w:pPr>
        <w:jc w:val="center"/>
        <w:rPr>
          <w:rFonts w:hint="eastAsia" w:ascii="宋体" w:hAnsi="宋体"/>
          <w:b/>
          <w:color w:val="auto"/>
          <w:sz w:val="72"/>
          <w:highlight w:val="none"/>
        </w:rPr>
      </w:pPr>
      <w:r>
        <w:rPr>
          <w:rFonts w:hint="eastAsia" w:ascii="宋体" w:hAnsi="宋体"/>
          <w:b/>
          <w:color w:val="auto"/>
          <w:sz w:val="72"/>
          <w:highlight w:val="none"/>
        </w:rPr>
        <w:t xml:space="preserve">政 府 </w:t>
      </w:r>
      <w:bookmarkStart w:id="11" w:name="_GoBack"/>
      <w:bookmarkEnd w:id="11"/>
      <w:r>
        <w:rPr>
          <w:rFonts w:hint="eastAsia" w:ascii="宋体" w:hAnsi="宋体"/>
          <w:b/>
          <w:color w:val="auto"/>
          <w:sz w:val="72"/>
          <w:highlight w:val="none"/>
        </w:rPr>
        <w:t xml:space="preserve">采 购 项 目 </w:t>
      </w:r>
    </w:p>
    <w:p w14:paraId="1DF104ED">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11F9535E">
      <w:pPr>
        <w:spacing w:line="360" w:lineRule="auto"/>
        <w:ind w:firstLine="1438" w:firstLineChars="398"/>
        <w:rPr>
          <w:rFonts w:hint="eastAsia" w:ascii="宋体" w:hAnsi="宋体"/>
          <w:b/>
          <w:color w:val="auto"/>
          <w:sz w:val="36"/>
          <w:highlight w:val="none"/>
        </w:rPr>
      </w:pPr>
    </w:p>
    <w:p w14:paraId="575C6C39">
      <w:pPr>
        <w:spacing w:line="360" w:lineRule="auto"/>
        <w:ind w:firstLine="1438" w:firstLineChars="398"/>
        <w:rPr>
          <w:rFonts w:hint="eastAsia" w:ascii="宋体" w:hAnsi="宋体"/>
          <w:b/>
          <w:color w:val="auto"/>
          <w:sz w:val="36"/>
          <w:highlight w:val="none"/>
        </w:rPr>
      </w:pPr>
    </w:p>
    <w:p w14:paraId="7A16B3A3">
      <w:pPr>
        <w:spacing w:line="360" w:lineRule="auto"/>
        <w:ind w:firstLine="1438" w:firstLineChars="398"/>
        <w:rPr>
          <w:rFonts w:hint="eastAsia" w:ascii="宋体" w:hAnsi="宋体"/>
          <w:b/>
          <w:color w:val="auto"/>
          <w:sz w:val="36"/>
          <w:highlight w:val="none"/>
        </w:rPr>
      </w:pPr>
    </w:p>
    <w:p w14:paraId="43DEEDA8">
      <w:pPr>
        <w:spacing w:line="360" w:lineRule="auto"/>
        <w:ind w:firstLine="1438" w:firstLineChars="398"/>
        <w:rPr>
          <w:rFonts w:hint="eastAsia" w:ascii="宋体" w:hAnsi="宋体"/>
          <w:b/>
          <w:color w:val="auto"/>
          <w:sz w:val="36"/>
          <w:highlight w:val="none"/>
        </w:rPr>
      </w:pPr>
    </w:p>
    <w:p w14:paraId="7E23CC64">
      <w:pPr>
        <w:spacing w:line="360" w:lineRule="auto"/>
        <w:ind w:firstLine="1438" w:firstLineChars="398"/>
        <w:rPr>
          <w:rFonts w:hint="eastAsia" w:ascii="宋体" w:hAnsi="宋体" w:eastAsia="宋体"/>
          <w:b/>
          <w:color w:val="auto"/>
          <w:sz w:val="36"/>
          <w:highlight w:val="none"/>
          <w:u w:val="single"/>
          <w:lang w:val="en-US" w:eastAsia="zh-CN"/>
        </w:rPr>
      </w:pPr>
      <w:r>
        <w:rPr>
          <w:rFonts w:hint="eastAsia" w:ascii="宋体" w:hAnsi="宋体"/>
          <w:b/>
          <w:color w:val="auto"/>
          <w:sz w:val="36"/>
          <w:highlight w:val="none"/>
        </w:rPr>
        <w:t>招 标 编</w:t>
      </w:r>
      <w:r>
        <w:rPr>
          <w:rFonts w:hint="eastAsia" w:ascii="宋体" w:hAnsi="宋体"/>
          <w:b/>
          <w:color w:val="auto"/>
          <w:sz w:val="36"/>
          <w:highlight w:val="none"/>
        </w:rPr>
        <w:t xml:space="preserve"> 号：</w:t>
      </w:r>
      <w:r>
        <w:rPr>
          <w:rFonts w:hint="eastAsia" w:ascii="宋体" w:hAnsi="宋体"/>
          <w:b/>
          <w:color w:val="auto"/>
          <w:sz w:val="36"/>
          <w:highlight w:val="none"/>
          <w:u w:val="single"/>
          <w:lang w:eastAsia="zh-CN"/>
        </w:rPr>
        <w:t>XM2025-DZ0014C3</w:t>
      </w:r>
    </w:p>
    <w:p w14:paraId="41FD4E57">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称：2025年大宗碎纸机采购</w:t>
      </w:r>
    </w:p>
    <w:p w14:paraId="661B043C">
      <w:pPr>
        <w:spacing w:line="360" w:lineRule="auto"/>
        <w:ind w:firstLine="1438" w:firstLineChars="398"/>
        <w:rPr>
          <w:rFonts w:hint="eastAsia" w:ascii="宋体" w:hAnsi="宋体"/>
          <w:b/>
          <w:color w:val="auto"/>
          <w:sz w:val="36"/>
          <w:highlight w:val="none"/>
        </w:rPr>
      </w:pPr>
    </w:p>
    <w:p w14:paraId="64115C96">
      <w:pPr>
        <w:spacing w:line="360" w:lineRule="auto"/>
        <w:ind w:firstLine="1438" w:firstLineChars="398"/>
        <w:rPr>
          <w:rFonts w:hint="eastAsia" w:ascii="宋体" w:hAnsi="宋体"/>
          <w:b/>
          <w:color w:val="auto"/>
          <w:sz w:val="36"/>
          <w:highlight w:val="none"/>
        </w:rPr>
      </w:pPr>
    </w:p>
    <w:p w14:paraId="6174D461">
      <w:pPr>
        <w:spacing w:line="360" w:lineRule="auto"/>
        <w:ind w:firstLine="1438" w:firstLineChars="398"/>
        <w:rPr>
          <w:rFonts w:hint="eastAsia" w:ascii="宋体" w:hAnsi="宋体"/>
          <w:b/>
          <w:color w:val="auto"/>
          <w:sz w:val="36"/>
          <w:highlight w:val="none"/>
        </w:rPr>
      </w:pPr>
    </w:p>
    <w:p w14:paraId="2C55D35E">
      <w:pPr>
        <w:spacing w:line="360" w:lineRule="auto"/>
        <w:ind w:firstLine="1438" w:firstLineChars="398"/>
        <w:rPr>
          <w:rFonts w:hint="eastAsia" w:ascii="宋体" w:hAnsi="宋体"/>
          <w:b/>
          <w:color w:val="auto"/>
          <w:sz w:val="36"/>
          <w:highlight w:val="none"/>
        </w:rPr>
      </w:pPr>
    </w:p>
    <w:p w14:paraId="7B90B5FD">
      <w:pPr>
        <w:spacing w:line="360" w:lineRule="auto"/>
        <w:ind w:firstLine="1438" w:firstLineChars="398"/>
        <w:rPr>
          <w:rFonts w:hint="eastAsia" w:ascii="宋体" w:hAnsi="宋体"/>
          <w:b/>
          <w:color w:val="auto"/>
          <w:sz w:val="36"/>
          <w:highlight w:val="none"/>
        </w:rPr>
      </w:pPr>
    </w:p>
    <w:p w14:paraId="3D4194E7">
      <w:pPr>
        <w:pStyle w:val="6"/>
        <w:ind w:firstLine="1445" w:firstLineChars="400"/>
        <w:jc w:val="left"/>
        <w:rPr>
          <w:rFonts w:hint="eastAsia" w:hAnsi="宋体" w:cs="宋体"/>
          <w:b/>
          <w:color w:val="auto"/>
          <w:spacing w:val="20"/>
          <w:sz w:val="32"/>
          <w:highlight w:val="none"/>
        </w:rPr>
      </w:pPr>
      <w:r>
        <w:rPr>
          <w:rFonts w:hint="eastAsia" w:hAnsi="宋体" w:cs="宋体"/>
          <w:b/>
          <w:color w:val="auto"/>
          <w:spacing w:val="20"/>
          <w:sz w:val="32"/>
          <w:highlight w:val="none"/>
        </w:rPr>
        <w:t>使用单位：厦门市政府机关事业单位和福建</w:t>
      </w:r>
    </w:p>
    <w:p w14:paraId="155D8D9C">
      <w:pPr>
        <w:pStyle w:val="6"/>
        <w:ind w:firstLine="1445" w:firstLineChars="400"/>
        <w:jc w:val="left"/>
        <w:rPr>
          <w:rFonts w:hint="eastAsia" w:hAnsi="宋体" w:cs="宋体"/>
          <w:b/>
          <w:color w:val="auto"/>
          <w:spacing w:val="20"/>
          <w:sz w:val="32"/>
          <w:highlight w:val="none"/>
        </w:rPr>
      </w:pPr>
      <w:r>
        <w:rPr>
          <w:rFonts w:hint="eastAsia" w:hAnsi="宋体" w:cs="宋体"/>
          <w:b/>
          <w:color w:val="auto"/>
          <w:spacing w:val="20"/>
          <w:sz w:val="32"/>
          <w:highlight w:val="none"/>
        </w:rPr>
        <w:t>省内其他终端用户</w:t>
      </w:r>
    </w:p>
    <w:p w14:paraId="4B34119E">
      <w:pPr>
        <w:pStyle w:val="6"/>
        <w:ind w:firstLine="1438" w:firstLineChars="398"/>
        <w:jc w:val="left"/>
        <w:rPr>
          <w:rFonts w:hint="eastAsia" w:hAnsi="宋体" w:cs="宋体"/>
          <w:b/>
          <w:bCs/>
          <w:color w:val="auto"/>
          <w:sz w:val="32"/>
          <w:highlight w:val="none"/>
          <w:u w:val="single"/>
        </w:rPr>
      </w:pPr>
      <w:r>
        <w:rPr>
          <w:rFonts w:hint="eastAsia" w:hAnsi="宋体" w:cs="宋体"/>
          <w:b/>
          <w:color w:val="auto"/>
          <w:spacing w:val="20"/>
          <w:sz w:val="32"/>
          <w:highlight w:val="none"/>
        </w:rPr>
        <w:t>采购单位：</w:t>
      </w:r>
      <w:r>
        <w:rPr>
          <w:rFonts w:hint="eastAsia" w:hAnsi="宋体" w:cs="宋体"/>
          <w:b/>
          <w:bCs/>
          <w:color w:val="auto"/>
          <w:sz w:val="32"/>
          <w:highlight w:val="none"/>
        </w:rPr>
        <w:t>厦门万翔网络商务有限公司</w:t>
      </w:r>
    </w:p>
    <w:p w14:paraId="4BB90A26">
      <w:pPr>
        <w:pStyle w:val="6"/>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厦门万翔招标有限公司</w:t>
      </w:r>
      <w:r>
        <w:rPr>
          <w:rFonts w:hint="eastAsia" w:hAnsi="宋体"/>
          <w:b/>
          <w:color w:val="auto"/>
          <w:spacing w:val="20"/>
          <w:sz w:val="32"/>
          <w:highlight w:val="none"/>
        </w:rPr>
        <w:t xml:space="preserve"> </w:t>
      </w:r>
    </w:p>
    <w:p w14:paraId="19B14885">
      <w:pPr>
        <w:spacing w:line="360" w:lineRule="auto"/>
        <w:ind w:firstLine="1438" w:firstLineChars="398"/>
        <w:rPr>
          <w:rFonts w:hint="eastAsia" w:ascii="宋体" w:hAnsi="宋体"/>
          <w:b/>
          <w:color w:val="auto"/>
          <w:sz w:val="36"/>
          <w:highlight w:val="none"/>
        </w:rPr>
      </w:pPr>
    </w:p>
    <w:p w14:paraId="2C6412C0">
      <w:pPr>
        <w:pStyle w:val="6"/>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2025</w:t>
      </w:r>
      <w:r>
        <w:rPr>
          <w:rFonts w:hint="eastAsia" w:hAnsi="宋体"/>
          <w:b/>
          <w:color w:val="auto"/>
          <w:sz w:val="32"/>
          <w:highlight w:val="none"/>
        </w:rPr>
        <w:t>年</w:t>
      </w:r>
    </w:p>
    <w:p w14:paraId="4855A3BC">
      <w:pPr>
        <w:pStyle w:val="6"/>
        <w:spacing w:line="360" w:lineRule="auto"/>
        <w:jc w:val="center"/>
        <w:outlineLvl w:val="0"/>
        <w:rPr>
          <w:rFonts w:hint="eastAsia" w:hAnsi="宋体"/>
          <w:b/>
          <w:color w:val="auto"/>
          <w:sz w:val="32"/>
          <w:highlight w:val="none"/>
        </w:rPr>
      </w:pPr>
    </w:p>
    <w:p w14:paraId="44477202">
      <w:pPr>
        <w:pStyle w:val="6"/>
        <w:spacing w:line="360" w:lineRule="auto"/>
        <w:jc w:val="center"/>
        <w:outlineLvl w:val="0"/>
        <w:rPr>
          <w:rFonts w:hint="eastAsia" w:hAnsi="宋体"/>
          <w:b/>
          <w:color w:val="auto"/>
          <w:sz w:val="32"/>
          <w:highlight w:val="none"/>
        </w:rPr>
      </w:pPr>
    </w:p>
    <w:p w14:paraId="69CE2299">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2AE6FB61">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0EFCDF41">
      <w:pPr>
        <w:rPr>
          <w:rFonts w:hint="eastAsia" w:ascii="宋体" w:hAnsi="宋体" w:eastAsia="宋体" w:cs="宋体"/>
          <w:color w:val="auto"/>
          <w:sz w:val="24"/>
          <w:szCs w:val="24"/>
          <w:highlight w:val="none"/>
        </w:rPr>
      </w:pPr>
    </w:p>
    <w:p w14:paraId="12FC10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E07B345">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79DCB9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52DBE03D">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17A00FF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27DA0789">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4A8DE6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6C1FC3F2">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4B8DED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022E843C">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2E60CB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rPr>
        <w:t xml:space="preserve">厦门银行股份有限公司 </w:t>
      </w:r>
    </w:p>
    <w:p w14:paraId="40DA72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3E5BF7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19A06C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05DDE121">
      <w:pPr>
        <w:spacing w:line="360" w:lineRule="auto"/>
        <w:ind w:firstLine="480" w:firstLineChars="200"/>
        <w:rPr>
          <w:rFonts w:hint="eastAsia" w:ascii="宋体" w:hAnsi="宋体" w:eastAsia="宋体" w:cs="宋体"/>
          <w:color w:val="auto"/>
          <w:sz w:val="24"/>
          <w:szCs w:val="24"/>
          <w:highlight w:val="none"/>
        </w:rPr>
      </w:pPr>
    </w:p>
    <w:p w14:paraId="450BCB83">
      <w:pPr>
        <w:spacing w:line="360" w:lineRule="auto"/>
        <w:ind w:firstLine="480" w:firstLineChars="200"/>
        <w:rPr>
          <w:rFonts w:hint="eastAsia" w:ascii="宋体" w:hAnsi="宋体" w:eastAsia="宋体" w:cs="宋体"/>
          <w:color w:val="auto"/>
          <w:sz w:val="24"/>
          <w:szCs w:val="24"/>
          <w:highlight w:val="none"/>
        </w:rPr>
      </w:pPr>
    </w:p>
    <w:p w14:paraId="32DFAB31">
      <w:pPr>
        <w:spacing w:line="360" w:lineRule="auto"/>
        <w:ind w:firstLine="480" w:firstLineChars="200"/>
        <w:rPr>
          <w:rFonts w:hint="eastAsia" w:ascii="宋体" w:hAnsi="宋体" w:eastAsia="宋体" w:cs="宋体"/>
          <w:color w:val="auto"/>
          <w:sz w:val="24"/>
          <w:szCs w:val="24"/>
          <w:highlight w:val="none"/>
        </w:rPr>
      </w:pPr>
    </w:p>
    <w:p w14:paraId="30E1CDA1">
      <w:pPr>
        <w:spacing w:line="360" w:lineRule="auto"/>
        <w:ind w:firstLine="480" w:firstLineChars="200"/>
        <w:rPr>
          <w:rFonts w:hint="eastAsia" w:ascii="宋体" w:hAnsi="宋体" w:eastAsia="宋体" w:cs="宋体"/>
          <w:color w:val="auto"/>
          <w:sz w:val="24"/>
          <w:szCs w:val="24"/>
          <w:highlight w:val="none"/>
        </w:rPr>
      </w:pPr>
    </w:p>
    <w:p w14:paraId="565B15E1">
      <w:pPr>
        <w:spacing w:line="360" w:lineRule="auto"/>
        <w:ind w:firstLine="0" w:firstLineChars="0"/>
        <w:rPr>
          <w:rFonts w:hint="eastAsia" w:ascii="宋体" w:hAnsi="宋体" w:eastAsia="宋体" w:cs="宋体"/>
          <w:color w:val="auto"/>
          <w:sz w:val="24"/>
          <w:szCs w:val="24"/>
          <w:highlight w:val="none"/>
        </w:rPr>
      </w:pPr>
    </w:p>
    <w:p w14:paraId="4AA9340F">
      <w:pPr>
        <w:pStyle w:val="6"/>
        <w:spacing w:line="360" w:lineRule="auto"/>
        <w:jc w:val="center"/>
        <w:outlineLvl w:val="0"/>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  目   录</w:t>
      </w:r>
    </w:p>
    <w:p w14:paraId="6997C5AB">
      <w:pPr>
        <w:pStyle w:val="3"/>
        <w:snapToGrid w:val="0"/>
        <w:spacing w:line="360" w:lineRule="auto"/>
        <w:ind w:firstLine="0"/>
        <w:rPr>
          <w:rFonts w:hint="eastAsia" w:ascii="宋体" w:hAnsi="宋体" w:eastAsia="宋体" w:cs="宋体"/>
          <w:color w:val="auto"/>
          <w:sz w:val="24"/>
          <w:szCs w:val="24"/>
          <w:highlight w:val="none"/>
        </w:rPr>
      </w:pPr>
    </w:p>
    <w:p w14:paraId="28EFFC33">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3089AAC8">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5F090C24">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31928145">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5606F3BC">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08E3D356">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5CE79EA6">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17CAC787">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5E1D1C59">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6D85A505">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w:t>
      </w:r>
      <w:r>
        <w:rPr>
          <w:rFonts w:hint="eastAsia" w:ascii="宋体" w:hAnsi="宋体" w:eastAsia="宋体" w:cs="宋体"/>
          <w:color w:val="auto"/>
          <w:sz w:val="24"/>
          <w:szCs w:val="24"/>
          <w:highlight w:val="none"/>
        </w:rPr>
        <w:t>…………………………………………2-2-1</w:t>
      </w:r>
      <w:r>
        <w:rPr>
          <w:rFonts w:hint="eastAsia" w:ascii="宋体" w:hAnsi="宋体" w:eastAsia="宋体" w:cs="宋体"/>
          <w:color w:val="auto"/>
          <w:sz w:val="24"/>
          <w:szCs w:val="24"/>
          <w:highlight w:val="none"/>
          <w:lang w:val="en-US" w:eastAsia="zh-CN"/>
        </w:rPr>
        <w:t>2</w:t>
      </w:r>
    </w:p>
    <w:p w14:paraId="433667EA">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 意外情况的处理  ……………………………………  2-2-</w:t>
      </w:r>
      <w:r>
        <w:rPr>
          <w:rFonts w:hint="eastAsia" w:ascii="宋体" w:hAnsi="宋体" w:eastAsia="宋体" w:cs="宋体"/>
          <w:color w:val="auto"/>
          <w:sz w:val="24"/>
          <w:szCs w:val="24"/>
          <w:highlight w:val="none"/>
          <w:lang w:val="en-US" w:eastAsia="zh-CN"/>
        </w:rPr>
        <w:t>15</w:t>
      </w:r>
    </w:p>
    <w:p w14:paraId="605090BA">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1396C69E">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第四章    </w:t>
      </w:r>
      <w:r>
        <w:rPr>
          <w:rFonts w:hint="eastAsia" w:ascii="宋体" w:hAnsi="宋体" w:cs="宋体"/>
          <w:color w:val="auto"/>
          <w:sz w:val="24"/>
          <w:szCs w:val="24"/>
          <w:highlight w:val="none"/>
        </w:rPr>
        <w:t>政府采购货物买卖合同（试行）</w:t>
      </w:r>
      <w:r>
        <w:rPr>
          <w:rFonts w:hint="eastAsia" w:ascii="宋体" w:hAnsi="宋体" w:eastAsia="宋体" w:cs="宋体"/>
          <w:color w:val="auto"/>
          <w:sz w:val="24"/>
          <w:szCs w:val="24"/>
          <w:highlight w:val="none"/>
        </w:rPr>
        <w:t>……………………4-1</w:t>
      </w:r>
    </w:p>
    <w:p w14:paraId="29A61F72">
      <w:pPr>
        <w:pStyle w:val="3"/>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w:t>
      </w:r>
      <w:r>
        <w:rPr>
          <w:rFonts w:hint="eastAsia" w:ascii="宋体" w:hAnsi="宋体" w:eastAsia="宋体" w:cs="宋体"/>
          <w:color w:val="auto"/>
          <w:sz w:val="24"/>
          <w:szCs w:val="24"/>
          <w:highlight w:val="none"/>
        </w:rPr>
        <w:t>…………………………5-1</w:t>
      </w:r>
    </w:p>
    <w:p w14:paraId="23A31659">
      <w:pPr>
        <w:pStyle w:val="3"/>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14:paraId="0D9A51D2">
      <w:pPr>
        <w:pStyle w:val="16"/>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第一章  投标邀请函</w:t>
      </w:r>
    </w:p>
    <w:p w14:paraId="621B95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厦门万翔招标有限公司</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rPr>
        <w:t>2025年大宗碎纸机采购】</w:t>
      </w:r>
      <w:r>
        <w:rPr>
          <w:rFonts w:hint="eastAsia" w:ascii="宋体" w:hAnsi="宋体" w:eastAsia="宋体" w:cs="宋体"/>
          <w:color w:val="auto"/>
          <w:sz w:val="24"/>
          <w:szCs w:val="24"/>
          <w:highlight w:val="none"/>
        </w:rPr>
        <w:t>货物（或服务）进行国内公开招标，现欢迎国内合格的投标人前来投标。</w:t>
      </w:r>
    </w:p>
    <w:p w14:paraId="7CCBFB87">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cs="宋体"/>
          <w:color w:val="auto"/>
          <w:sz w:val="24"/>
          <w:szCs w:val="24"/>
          <w:highlight w:val="none"/>
          <w:u w:val="single"/>
          <w:lang w:eastAsia="zh-CN"/>
        </w:rPr>
        <w:t>XM2025-DZ0014C3</w:t>
      </w:r>
      <w:r>
        <w:rPr>
          <w:rFonts w:hint="eastAsia" w:ascii="宋体" w:hAnsi="宋体" w:eastAsia="宋体" w:cs="宋体"/>
          <w:color w:val="auto"/>
          <w:sz w:val="24"/>
          <w:szCs w:val="24"/>
          <w:highlight w:val="none"/>
          <w:u w:val="single"/>
        </w:rPr>
        <w:t>。</w:t>
      </w:r>
    </w:p>
    <w:p w14:paraId="7BD8CDC7">
      <w:pPr>
        <w:spacing w:line="360" w:lineRule="auto"/>
        <w:ind w:firstLine="424" w:firstLineChars="20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14C01C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
          <w:bCs w:val="0"/>
          <w:color w:val="auto"/>
          <w:sz w:val="24"/>
          <w:szCs w:val="24"/>
          <w:highlight w:val="none"/>
          <w:lang w:eastAsia="zh-CN"/>
        </w:rPr>
        <w:t>2025</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9</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1</w:t>
      </w:r>
      <w:r>
        <w:rPr>
          <w:rFonts w:hint="eastAsia" w:ascii="宋体" w:hAnsi="宋体" w:eastAsia="宋体" w:cs="宋体"/>
          <w:b/>
          <w:bCs w:val="0"/>
          <w:color w:val="auto"/>
          <w:sz w:val="24"/>
          <w:szCs w:val="24"/>
          <w:highlight w:val="none"/>
        </w:rPr>
        <w:t>日至</w:t>
      </w:r>
      <w:r>
        <w:rPr>
          <w:rFonts w:hint="eastAsia" w:ascii="宋体" w:hAnsi="宋体" w:cs="宋体"/>
          <w:b/>
          <w:bCs w:val="0"/>
          <w:color w:val="auto"/>
          <w:sz w:val="24"/>
          <w:szCs w:val="24"/>
          <w:highlight w:val="none"/>
          <w:lang w:eastAsia="zh-CN"/>
        </w:rPr>
        <w:t>2025</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9</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17</w:t>
      </w:r>
      <w:r>
        <w:rPr>
          <w:rFonts w:hint="eastAsia" w:ascii="宋体" w:hAnsi="宋体" w:eastAsia="宋体" w:cs="宋体"/>
          <w:b/>
          <w:bCs w:val="0"/>
          <w:color w:val="auto"/>
          <w:sz w:val="24"/>
          <w:szCs w:val="24"/>
          <w:highlight w:val="none"/>
        </w:rPr>
        <w:t>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14:paraId="21F9DD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7C53E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39A44AD3">
      <w:pPr>
        <w:pStyle w:val="6"/>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4、招标文件售价：</w:t>
      </w:r>
      <w:r>
        <w:rPr>
          <w:rFonts w:hint="eastAsia" w:ascii="宋体" w:hAnsi="宋体" w:eastAsia="宋体" w:cs="宋体"/>
          <w:b/>
          <w:bCs/>
          <w:color w:val="auto"/>
          <w:sz w:val="24"/>
          <w:szCs w:val="24"/>
          <w:highlight w:val="none"/>
        </w:rPr>
        <w:t>每个合同包</w:t>
      </w:r>
      <w:r>
        <w:rPr>
          <w:rFonts w:hint="eastAsia" w:hAnsi="宋体" w:cs="宋体"/>
          <w:b/>
          <w:bCs/>
          <w:color w:val="auto"/>
          <w:sz w:val="24"/>
          <w:szCs w:val="24"/>
          <w:highlight w:val="none"/>
          <w:u w:val="single"/>
          <w:lang w:val="en-US" w:eastAsia="zh-CN"/>
        </w:rPr>
        <w:t>0</w:t>
      </w:r>
      <w:r>
        <w:rPr>
          <w:rFonts w:hint="eastAsia" w:ascii="宋体" w:hAnsi="宋体" w:eastAsia="宋体" w:cs="宋体"/>
          <w:b/>
          <w:bCs/>
          <w:color w:val="auto"/>
          <w:sz w:val="24"/>
          <w:szCs w:val="24"/>
          <w:highlight w:val="none"/>
        </w:rPr>
        <w:t>元人民币</w:t>
      </w:r>
      <w:r>
        <w:rPr>
          <w:rFonts w:hint="eastAsia" w:ascii="宋体" w:hAnsi="宋体" w:eastAsia="宋体" w:cs="宋体"/>
          <w:b/>
          <w:bCs/>
          <w:color w:val="auto"/>
          <w:sz w:val="24"/>
          <w:szCs w:val="24"/>
          <w:highlight w:val="none"/>
        </w:rPr>
        <w:t>，售后不退。</w:t>
      </w:r>
    </w:p>
    <w:p w14:paraId="25A287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5、投标截止时间：投标文件应于</w:t>
      </w:r>
      <w:r>
        <w:rPr>
          <w:rFonts w:hint="eastAsia" w:ascii="宋体" w:hAnsi="宋体" w:cs="宋体"/>
          <w:b/>
          <w:bCs/>
          <w:color w:val="auto"/>
          <w:sz w:val="24"/>
          <w:szCs w:val="24"/>
          <w:highlight w:val="none"/>
          <w:lang w:eastAsia="zh-CN"/>
        </w:rPr>
        <w:t>2025</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22</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45</w:t>
      </w:r>
      <w:r>
        <w:rPr>
          <w:rFonts w:hint="eastAsia" w:ascii="宋体" w:hAnsi="宋体" w:eastAsia="宋体" w:cs="宋体"/>
          <w:color w:val="auto"/>
          <w:sz w:val="24"/>
          <w:szCs w:val="24"/>
          <w:highlight w:val="none"/>
        </w:rPr>
        <w:t>（北京时间）之前登录厦门招投标网上传投标文件。已上传但未提示上传成功的投标无效。</w:t>
      </w:r>
    </w:p>
    <w:p w14:paraId="2DA001C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A、网上投标详见厦门招投标网－</w:t>
      </w:r>
      <w:r>
        <w:rPr>
          <w:rFonts w:hint="eastAsia" w:ascii="宋体" w:hAnsi="宋体" w:eastAsia="宋体" w:cs="宋体"/>
          <w:color w:val="auto"/>
          <w:sz w:val="24"/>
          <w:szCs w:val="24"/>
          <w:highlight w:val="none"/>
          <w:lang w:val="en-US" w:eastAsia="zh-CN"/>
        </w:rPr>
        <w:t>办事指南</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操作手册—</w:t>
      </w: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操作手册》。</w:t>
      </w:r>
    </w:p>
    <w:p w14:paraId="7A833945">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shd w:val="clear" w:color="auto" w:fill="FFFFFF"/>
        </w:rPr>
        <w:t>B</w:t>
      </w:r>
      <w:r>
        <w:rPr>
          <w:rFonts w:hint="eastAsia" w:ascii="宋体" w:hAnsi="宋体" w:cs="宋体"/>
          <w:color w:val="auto"/>
          <w:sz w:val="24"/>
          <w:szCs w:val="24"/>
          <w:highlight w:val="none"/>
        </w:rPr>
        <w:t>、</w:t>
      </w:r>
      <w:r>
        <w:rPr>
          <w:rStyle w:val="14"/>
          <w:rFonts w:ascii="Helvetica" w:hAnsi="Helvetica" w:eastAsia="Helvetica" w:cs="Helvetica"/>
          <w:b w:val="0"/>
          <w:bCs w:val="0"/>
          <w:color w:val="auto"/>
          <w:sz w:val="24"/>
          <w:szCs w:val="24"/>
          <w:highlight w:val="none"/>
          <w:shd w:val="clear" w:color="auto" w:fill="FFFFFF"/>
        </w:rPr>
        <w:t>数字证书办理</w:t>
      </w:r>
      <w:r>
        <w:rPr>
          <w:rStyle w:val="14"/>
          <w:rFonts w:hint="eastAsia" w:ascii="Helvetica" w:hAnsi="Helvetica" w:cs="Helvetica"/>
          <w:b w:val="0"/>
          <w:bCs w:val="0"/>
          <w:color w:val="auto"/>
          <w:sz w:val="24"/>
          <w:szCs w:val="24"/>
          <w:highlight w:val="none"/>
          <w:shd w:val="clear" w:color="auto" w:fill="FFFFFF"/>
        </w:rPr>
        <w:t>详见</w:t>
      </w:r>
      <w:r>
        <w:rPr>
          <w:rFonts w:hint="eastAsia" w:ascii="宋体" w:hAnsi="宋体" w:cs="宋体"/>
          <w:color w:val="auto"/>
          <w:sz w:val="24"/>
          <w:szCs w:val="24"/>
          <w:highlight w:val="none"/>
        </w:rPr>
        <w:t>厦门招投标网－办事指南－操作手册—《投标流程》</w:t>
      </w:r>
    </w:p>
    <w:p w14:paraId="6DFD70C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 </w:t>
      </w:r>
      <w:r>
        <w:rPr>
          <w:rFonts w:hint="eastAsia" w:ascii="宋体" w:hAnsi="宋体" w:cs="宋体"/>
          <w:b/>
          <w:bCs/>
          <w:color w:val="auto"/>
          <w:sz w:val="24"/>
          <w:szCs w:val="24"/>
          <w:highlight w:val="none"/>
          <w:lang w:eastAsia="zh-CN"/>
        </w:rPr>
        <w:t>2025</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22</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45</w:t>
      </w:r>
      <w:r>
        <w:rPr>
          <w:rFonts w:hint="eastAsia" w:ascii="宋体" w:hAnsi="宋体" w:eastAsia="宋体" w:cs="宋体"/>
          <w:color w:val="auto"/>
          <w:sz w:val="24"/>
          <w:szCs w:val="24"/>
          <w:highlight w:val="none"/>
        </w:rPr>
        <w:t>（北京时间）于厦门招投标网进行公开开标。投标人可登陆厦门招投标网查看开标全过程。</w:t>
      </w:r>
    </w:p>
    <w:p w14:paraId="795CAE7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eastAsia="宋体" w:cs="宋体"/>
          <w:b/>
          <w:bCs/>
          <w:color w:val="auto"/>
          <w:sz w:val="24"/>
          <w:szCs w:val="24"/>
          <w:highlight w:val="none"/>
        </w:rPr>
        <w:t>接受</w:t>
      </w:r>
      <w:r>
        <w:rPr>
          <w:rFonts w:hint="eastAsia" w:ascii="宋体" w:hAnsi="宋体" w:eastAsia="宋体" w:cs="宋体"/>
          <w:color w:val="auto"/>
          <w:sz w:val="24"/>
          <w:szCs w:val="24"/>
          <w:highlight w:val="none"/>
        </w:rPr>
        <w:t>联合体投标。</w:t>
      </w:r>
    </w:p>
    <w:p w14:paraId="7B1018A2">
      <w:pPr>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A、接受联合体投标且投标人为联合体的，全部联合体组成成员都应在厦门招投标网注册账号。</w:t>
      </w:r>
    </w:p>
    <w:p w14:paraId="351BC390">
      <w:pPr>
        <w:spacing w:line="360" w:lineRule="auto"/>
        <w:ind w:firstLine="360" w:firstLineChars="150"/>
        <w:rPr>
          <w:rFonts w:ascii="宋体" w:hAnsi="宋体" w:cs="宋体"/>
          <w:bCs/>
          <w:color w:val="auto"/>
          <w:sz w:val="24"/>
          <w:szCs w:val="24"/>
          <w:highlight w:val="none"/>
        </w:rPr>
      </w:pPr>
      <w:r>
        <w:rPr>
          <w:rFonts w:hint="eastAsia" w:ascii="宋体" w:hAnsi="宋体" w:cs="宋体"/>
          <w:color w:val="auto"/>
          <w:sz w:val="24"/>
          <w:szCs w:val="24"/>
          <w:highlight w:val="none"/>
        </w:rPr>
        <w:t>B、接受联合体投标且投标人为联合体的，投标人应由“联合体牵头方”完成系统设定的具体操作流程（包括但不限于：招标文件获取、提交投标保证金、编制电子投标文件等）。</w:t>
      </w:r>
    </w:p>
    <w:p w14:paraId="06A8DEC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厦门万翔招标有限公司</w:t>
      </w:r>
      <w:r>
        <w:rPr>
          <w:rFonts w:hint="eastAsia" w:ascii="宋体" w:hAnsi="宋体" w:eastAsia="宋体" w:cs="宋体"/>
          <w:bCs/>
          <w:color w:val="auto"/>
          <w:sz w:val="24"/>
          <w:szCs w:val="24"/>
          <w:highlight w:val="none"/>
        </w:rPr>
        <w:t>将通过福建省政府采购网</w:t>
      </w:r>
      <w:r>
        <w:rPr>
          <w:rFonts w:hint="eastAsia" w:ascii="宋体" w:hAnsi="宋体" w:cs="宋体"/>
          <w:bCs/>
          <w:color w:val="auto"/>
          <w:sz w:val="24"/>
          <w:szCs w:val="24"/>
          <w:highlight w:val="none"/>
          <w:lang w:eastAsia="zh-CN"/>
        </w:rPr>
        <w:t>、</w:t>
      </w:r>
      <w:r>
        <w:rPr>
          <w:rFonts w:hint="eastAsia" w:ascii="宋体" w:hAnsi="宋体" w:eastAsia="宋体" w:cs="宋体"/>
          <w:bCs/>
          <w:color w:val="auto"/>
          <w:sz w:val="24"/>
          <w:szCs w:val="24"/>
          <w:highlight w:val="none"/>
        </w:rPr>
        <w:t>厦门招投标网等媒体发布通知信息，请投标人关注。</w:t>
      </w:r>
      <w:r>
        <w:rPr>
          <w:rFonts w:hint="eastAsia" w:ascii="宋体" w:hAnsi="宋体" w:eastAsia="宋体" w:cs="宋体"/>
          <w:color w:val="auto"/>
          <w:sz w:val="24"/>
          <w:szCs w:val="24"/>
          <w:highlight w:val="none"/>
        </w:rPr>
        <w:t>（请投标人在网上下载招标文件时，必须提供准确的电子邮箱、传真以及联系方式，电子网络系统将会自动发送相关信息，投标人收到相关信息后请回复确认）。</w:t>
      </w:r>
    </w:p>
    <w:p w14:paraId="63FE0DDE">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9、友情提醒：本项目全程采用网上招、投标方式进行采购，请各投标人必须按照有关规定要求在网上注册、</w:t>
      </w:r>
      <w:r>
        <w:rPr>
          <w:rStyle w:val="14"/>
          <w:rFonts w:ascii="Helvetica" w:hAnsi="Helvetica" w:eastAsia="Helvetica" w:cs="Helvetica"/>
          <w:color w:val="auto"/>
          <w:sz w:val="24"/>
          <w:szCs w:val="24"/>
          <w:highlight w:val="none"/>
          <w:shd w:val="clear" w:color="auto" w:fill="FFFFFF"/>
        </w:rPr>
        <w:t>需办理数字证书</w:t>
      </w:r>
      <w:r>
        <w:rPr>
          <w:rStyle w:val="14"/>
          <w:rFonts w:hint="eastAsia" w:ascii="Helvetica" w:hAnsi="Helvetica" w:cs="Helvetica"/>
          <w:color w:val="auto"/>
          <w:sz w:val="24"/>
          <w:szCs w:val="24"/>
          <w:highlight w:val="none"/>
          <w:shd w:val="clear" w:color="auto" w:fill="FFFFFF"/>
        </w:rPr>
        <w:t>、</w:t>
      </w:r>
      <w:r>
        <w:rPr>
          <w:rFonts w:hint="eastAsia" w:ascii="宋体" w:hAnsi="宋体" w:eastAsia="宋体" w:cs="宋体"/>
          <w:b/>
          <w:color w:val="auto"/>
          <w:sz w:val="24"/>
          <w:szCs w:val="24"/>
          <w:highlight w:val="none"/>
        </w:rPr>
        <w:t>购买招标文件和递交投标文件。</w:t>
      </w:r>
    </w:p>
    <w:p w14:paraId="6D475E2D">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10、投标人对本次招标活动事项提出疑问的，请在投标截止时间十五日之前，登录厦门招投标网与招标代理机构联系。来函请加盖单位公章，并提供联系人、联系电话及传真号码。</w:t>
      </w:r>
    </w:p>
    <w:p w14:paraId="68A43784">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11、各有关联系方式</w:t>
      </w:r>
    </w:p>
    <w:tbl>
      <w:tblPr>
        <w:tblStyle w:val="12"/>
        <w:tblW w:w="924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46"/>
        <w:gridCol w:w="1477"/>
        <w:gridCol w:w="1097"/>
        <w:gridCol w:w="2920"/>
        <w:gridCol w:w="2906"/>
      </w:tblGrid>
      <w:tr w14:paraId="719432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846" w:type="dxa"/>
            <w:noWrap w:val="0"/>
            <w:vAlign w:val="center"/>
          </w:tcPr>
          <w:p w14:paraId="43E1645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77" w:type="dxa"/>
            <w:noWrap w:val="0"/>
            <w:vAlign w:val="center"/>
          </w:tcPr>
          <w:p w14:paraId="6360695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097" w:type="dxa"/>
            <w:noWrap w:val="0"/>
            <w:vAlign w:val="center"/>
          </w:tcPr>
          <w:p w14:paraId="77C3A69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2920" w:type="dxa"/>
            <w:noWrap w:val="0"/>
            <w:vAlign w:val="center"/>
          </w:tcPr>
          <w:p w14:paraId="778B4EA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06" w:type="dxa"/>
            <w:noWrap w:val="0"/>
            <w:vAlign w:val="center"/>
          </w:tcPr>
          <w:p w14:paraId="3279D24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665917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6" w:type="dxa"/>
            <w:noWrap w:val="0"/>
            <w:vAlign w:val="center"/>
          </w:tcPr>
          <w:p w14:paraId="0E9BE6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77" w:type="dxa"/>
            <w:noWrap w:val="0"/>
            <w:vAlign w:val="center"/>
          </w:tcPr>
          <w:p w14:paraId="088C1A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097" w:type="dxa"/>
            <w:noWrap w:val="0"/>
            <w:vAlign w:val="center"/>
          </w:tcPr>
          <w:p w14:paraId="5492A84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卢扬华、熊睿晨</w:t>
            </w:r>
          </w:p>
        </w:tc>
        <w:tc>
          <w:tcPr>
            <w:tcW w:w="2920" w:type="dxa"/>
            <w:noWrap w:val="0"/>
            <w:vAlign w:val="center"/>
          </w:tcPr>
          <w:p w14:paraId="14BFB4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负责招标文件的咨询、答疑等工作</w:t>
            </w:r>
          </w:p>
        </w:tc>
        <w:tc>
          <w:tcPr>
            <w:tcW w:w="2906" w:type="dxa"/>
            <w:noWrap w:val="0"/>
            <w:vAlign w:val="center"/>
          </w:tcPr>
          <w:p w14:paraId="6D9972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0592-5701518、5769394</w:t>
            </w:r>
          </w:p>
          <w:p w14:paraId="6386EB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传真0592-5706660-6969</w:t>
            </w:r>
          </w:p>
        </w:tc>
      </w:tr>
      <w:tr w14:paraId="502C87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6" w:type="dxa"/>
            <w:noWrap w:val="0"/>
            <w:vAlign w:val="center"/>
          </w:tcPr>
          <w:p w14:paraId="07A8FE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77" w:type="dxa"/>
            <w:noWrap w:val="0"/>
            <w:vAlign w:val="center"/>
          </w:tcPr>
          <w:p w14:paraId="487D2E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097" w:type="dxa"/>
            <w:noWrap w:val="0"/>
            <w:vAlign w:val="center"/>
          </w:tcPr>
          <w:p w14:paraId="05EF2B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2920" w:type="dxa"/>
            <w:noWrap w:val="0"/>
            <w:vAlign w:val="center"/>
          </w:tcPr>
          <w:p w14:paraId="08BE175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06" w:type="dxa"/>
            <w:noWrap w:val="0"/>
            <w:vAlign w:val="center"/>
          </w:tcPr>
          <w:p w14:paraId="5F8C40D9">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41CFC0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6" w:type="dxa"/>
            <w:noWrap w:val="0"/>
            <w:vAlign w:val="center"/>
          </w:tcPr>
          <w:p w14:paraId="3FE6BF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77" w:type="dxa"/>
            <w:noWrap w:val="0"/>
            <w:vAlign w:val="center"/>
          </w:tcPr>
          <w:p w14:paraId="359D9A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097" w:type="dxa"/>
            <w:noWrap w:val="0"/>
            <w:vAlign w:val="center"/>
          </w:tcPr>
          <w:p w14:paraId="76492E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2920" w:type="dxa"/>
            <w:noWrap w:val="0"/>
            <w:vAlign w:val="center"/>
          </w:tcPr>
          <w:p w14:paraId="46009C9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06" w:type="dxa"/>
            <w:noWrap w:val="0"/>
            <w:vAlign w:val="center"/>
          </w:tcPr>
          <w:p w14:paraId="6DAAB564">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2DC351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6" w:type="dxa"/>
            <w:noWrap w:val="0"/>
            <w:vAlign w:val="center"/>
          </w:tcPr>
          <w:p w14:paraId="062156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77" w:type="dxa"/>
            <w:noWrap w:val="0"/>
            <w:vAlign w:val="center"/>
          </w:tcPr>
          <w:p w14:paraId="74CC91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097" w:type="dxa"/>
            <w:noWrap w:val="0"/>
            <w:vAlign w:val="center"/>
          </w:tcPr>
          <w:p w14:paraId="601F2C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2920" w:type="dxa"/>
            <w:noWrap w:val="0"/>
            <w:vAlign w:val="center"/>
          </w:tcPr>
          <w:p w14:paraId="2032B7A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06" w:type="dxa"/>
            <w:noWrap w:val="0"/>
            <w:vAlign w:val="center"/>
          </w:tcPr>
          <w:p w14:paraId="669E5E45">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58760C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6" w:type="dxa"/>
            <w:noWrap w:val="0"/>
            <w:vAlign w:val="center"/>
          </w:tcPr>
          <w:p w14:paraId="21C706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77" w:type="dxa"/>
            <w:noWrap w:val="0"/>
            <w:vAlign w:val="center"/>
          </w:tcPr>
          <w:p w14:paraId="1FD394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097" w:type="dxa"/>
            <w:noWrap w:val="0"/>
            <w:vAlign w:val="center"/>
          </w:tcPr>
          <w:p w14:paraId="27D2A2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2920" w:type="dxa"/>
            <w:noWrap w:val="0"/>
            <w:vAlign w:val="center"/>
          </w:tcPr>
          <w:p w14:paraId="7570E2F1">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06" w:type="dxa"/>
            <w:noWrap w:val="0"/>
            <w:vAlign w:val="center"/>
          </w:tcPr>
          <w:p w14:paraId="685326E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3592973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42B5393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31A61923">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3EE864EF">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3812"/>
      </w:tblGrid>
      <w:tr w14:paraId="6BB66F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4973D63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3695248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3812" w:type="dxa"/>
            <w:noWrap w:val="0"/>
            <w:vAlign w:val="center"/>
          </w:tcPr>
          <w:p w14:paraId="478642F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184CF3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7FD352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618FD9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w:t>
            </w:r>
          </w:p>
        </w:tc>
        <w:tc>
          <w:tcPr>
            <w:tcW w:w="3812" w:type="dxa"/>
            <w:noWrap w:val="0"/>
            <w:vAlign w:val="center"/>
          </w:tcPr>
          <w:p w14:paraId="73EC5A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74D811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01C3B2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2700A8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w:t>
            </w:r>
          </w:p>
        </w:tc>
        <w:tc>
          <w:tcPr>
            <w:tcW w:w="3812" w:type="dxa"/>
            <w:noWrap w:val="0"/>
            <w:vAlign w:val="center"/>
          </w:tcPr>
          <w:p w14:paraId="480149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624AF5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32469C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052" w:type="dxa"/>
            <w:gridSpan w:val="2"/>
            <w:noWrap w:val="0"/>
            <w:vAlign w:val="center"/>
          </w:tcPr>
          <w:p w14:paraId="50057F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529460F4">
      <w:pPr>
        <w:tabs>
          <w:tab w:val="left" w:pos="1140"/>
        </w:tabs>
        <w:spacing w:line="360" w:lineRule="auto"/>
        <w:ind w:firstLine="480" w:firstLineChars="200"/>
        <w:rPr>
          <w:rFonts w:hint="eastAsia" w:ascii="宋体" w:hAnsi="宋体" w:eastAsia="宋体" w:cs="宋体"/>
          <w:color w:val="auto"/>
          <w:sz w:val="24"/>
          <w:szCs w:val="24"/>
          <w:highlight w:val="none"/>
        </w:rPr>
      </w:pPr>
    </w:p>
    <w:p w14:paraId="24F833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006E35FC">
      <w:pPr>
        <w:numPr>
          <w:ilvl w:val="-1"/>
          <w:numId w:val="0"/>
        </w:numPr>
        <w:spacing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13、注意事项：</w:t>
      </w:r>
    </w:p>
    <w:p w14:paraId="26758438">
      <w:pPr>
        <w:keepNext w:val="0"/>
        <w:keepLines w:val="0"/>
        <w:pageBreakBefore w:val="0"/>
        <w:widowControl/>
        <w:numPr>
          <w:ilvl w:val="0"/>
          <w:numId w:val="0"/>
        </w:numPr>
        <w:tabs>
          <w:tab w:val="left" w:pos="-1080"/>
          <w:tab w:val="left" w:pos="180"/>
          <w:tab w:val="left" w:pos="1080"/>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项目中标供应商服务费发票将以邮件方式发送至购标指定邮箱。</w:t>
      </w:r>
    </w:p>
    <w:p w14:paraId="02D61098">
      <w:pPr>
        <w:numPr>
          <w:ilvl w:val="-1"/>
          <w:numId w:val="0"/>
        </w:numPr>
        <w:spacing w:line="360" w:lineRule="auto"/>
        <w:ind w:firstLine="0" w:firstLineChars="0"/>
        <w:rPr>
          <w:rFonts w:hint="default" w:ascii="宋体" w:hAnsi="宋体" w:cs="宋体"/>
          <w:color w:val="auto"/>
          <w:sz w:val="24"/>
          <w:szCs w:val="24"/>
          <w:highlight w:val="none"/>
          <w:lang w:val="en-US" w:eastAsia="zh-CN"/>
        </w:rPr>
      </w:pPr>
    </w:p>
    <w:p w14:paraId="3EB501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招标代理机构：厦门万翔招标有限公司 </w:t>
      </w:r>
    </w:p>
    <w:p w14:paraId="50E018C4">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02DEA136">
      <w:pPr>
        <w:tabs>
          <w:tab w:val="left" w:pos="2775"/>
        </w:tabs>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 361006</w:t>
      </w:r>
    </w:p>
    <w:p w14:paraId="4DF131B0">
      <w:pPr>
        <w:ind w:firstLine="482" w:firstLineChars="200"/>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合同款项事宜联系人：</w:t>
      </w:r>
      <w:r>
        <w:rPr>
          <w:rFonts w:hint="eastAsia" w:ascii="宋体" w:hAnsi="宋体" w:cs="宋体"/>
          <w:b/>
          <w:bCs/>
          <w:color w:val="auto"/>
          <w:sz w:val="24"/>
          <w:szCs w:val="24"/>
          <w:highlight w:val="none"/>
        </w:rPr>
        <w:t>黄春兰，0592-5777279</w:t>
      </w:r>
    </w:p>
    <w:p w14:paraId="08ABC723">
      <w:pPr>
        <w:tabs>
          <w:tab w:val="left" w:pos="2775"/>
        </w:tabs>
        <w:spacing w:line="360" w:lineRule="auto"/>
        <w:ind w:firstLine="480"/>
        <w:rPr>
          <w:rFonts w:hint="eastAsia" w:ascii="宋体" w:hAnsi="宋体" w:eastAsia="宋体" w:cs="宋体"/>
          <w:color w:val="auto"/>
          <w:sz w:val="24"/>
          <w:szCs w:val="24"/>
          <w:highlight w:val="none"/>
        </w:rPr>
      </w:pPr>
    </w:p>
    <w:p w14:paraId="5CAFED5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AD43A58">
      <w:pPr>
        <w:spacing w:line="360" w:lineRule="auto"/>
        <w:rPr>
          <w:rFonts w:hint="eastAsia" w:ascii="宋体" w:hAnsi="宋体" w:eastAsia="宋体" w:cs="宋体"/>
          <w:color w:val="auto"/>
          <w:sz w:val="24"/>
          <w:szCs w:val="24"/>
          <w:highlight w:val="none"/>
        </w:rPr>
      </w:pPr>
    </w:p>
    <w:p w14:paraId="4AE776E9">
      <w:pPr>
        <w:spacing w:line="360" w:lineRule="auto"/>
        <w:rPr>
          <w:rFonts w:hint="eastAsia" w:ascii="宋体" w:hAnsi="宋体" w:eastAsia="宋体" w:cs="宋体"/>
          <w:color w:val="auto"/>
          <w:sz w:val="24"/>
          <w:szCs w:val="24"/>
          <w:highlight w:val="none"/>
        </w:rPr>
      </w:pPr>
    </w:p>
    <w:p w14:paraId="3D4EB8CF">
      <w:pPr>
        <w:spacing w:line="360" w:lineRule="auto"/>
        <w:rPr>
          <w:rFonts w:hint="eastAsia" w:ascii="宋体" w:hAnsi="宋体" w:eastAsia="宋体" w:cs="宋体"/>
          <w:color w:val="auto"/>
          <w:sz w:val="24"/>
          <w:szCs w:val="24"/>
          <w:highlight w:val="none"/>
        </w:rPr>
      </w:pPr>
    </w:p>
    <w:p w14:paraId="1DCAA791">
      <w:pPr>
        <w:spacing w:line="360" w:lineRule="auto"/>
        <w:rPr>
          <w:rFonts w:hint="eastAsia" w:ascii="宋体" w:hAnsi="宋体" w:eastAsia="宋体" w:cs="宋体"/>
          <w:color w:val="auto"/>
          <w:sz w:val="24"/>
          <w:szCs w:val="24"/>
          <w:highlight w:val="none"/>
        </w:rPr>
      </w:pPr>
    </w:p>
    <w:p w14:paraId="0788BDF0">
      <w:pPr>
        <w:spacing w:line="360" w:lineRule="auto"/>
        <w:rPr>
          <w:rFonts w:hint="eastAsia" w:ascii="宋体" w:hAnsi="宋体" w:eastAsia="宋体" w:cs="宋体"/>
          <w:color w:val="auto"/>
          <w:sz w:val="24"/>
          <w:szCs w:val="24"/>
          <w:highlight w:val="none"/>
        </w:rPr>
      </w:pPr>
    </w:p>
    <w:p w14:paraId="16955E56">
      <w:pPr>
        <w:spacing w:line="360" w:lineRule="auto"/>
        <w:rPr>
          <w:rFonts w:hint="eastAsia" w:ascii="宋体" w:hAnsi="宋体" w:eastAsia="宋体" w:cs="宋体"/>
          <w:color w:val="auto"/>
          <w:sz w:val="24"/>
          <w:szCs w:val="24"/>
          <w:highlight w:val="none"/>
        </w:rPr>
      </w:pPr>
    </w:p>
    <w:p w14:paraId="413A8327">
      <w:pPr>
        <w:spacing w:line="360" w:lineRule="auto"/>
        <w:rPr>
          <w:rFonts w:hint="eastAsia" w:ascii="宋体" w:hAnsi="宋体" w:eastAsia="宋体" w:cs="宋体"/>
          <w:color w:val="auto"/>
          <w:sz w:val="24"/>
          <w:szCs w:val="24"/>
          <w:highlight w:val="none"/>
        </w:rPr>
      </w:pPr>
    </w:p>
    <w:p w14:paraId="6B8E65EB">
      <w:pPr>
        <w:spacing w:line="360" w:lineRule="auto"/>
        <w:rPr>
          <w:rFonts w:hint="eastAsia" w:ascii="宋体" w:hAnsi="宋体" w:eastAsia="宋体" w:cs="宋体"/>
          <w:color w:val="auto"/>
          <w:sz w:val="24"/>
          <w:szCs w:val="24"/>
          <w:highlight w:val="none"/>
        </w:rPr>
      </w:pPr>
    </w:p>
    <w:p w14:paraId="2687E8CD">
      <w:pPr>
        <w:spacing w:line="360" w:lineRule="auto"/>
        <w:rPr>
          <w:rFonts w:hint="eastAsia" w:ascii="宋体" w:hAnsi="宋体" w:eastAsia="宋体" w:cs="宋体"/>
          <w:color w:val="auto"/>
          <w:sz w:val="24"/>
          <w:szCs w:val="24"/>
          <w:highlight w:val="none"/>
        </w:rPr>
      </w:pPr>
    </w:p>
    <w:p w14:paraId="2DE65033">
      <w:pPr>
        <w:spacing w:line="360" w:lineRule="auto"/>
        <w:rPr>
          <w:rFonts w:hint="eastAsia" w:ascii="宋体" w:hAnsi="宋体" w:eastAsia="宋体" w:cs="宋体"/>
          <w:color w:val="auto"/>
          <w:sz w:val="24"/>
          <w:szCs w:val="24"/>
          <w:highlight w:val="none"/>
        </w:rPr>
      </w:pPr>
    </w:p>
    <w:p w14:paraId="6D99A0EB">
      <w:pPr>
        <w:spacing w:line="360" w:lineRule="auto"/>
        <w:rPr>
          <w:rFonts w:hint="eastAsia" w:ascii="宋体" w:hAnsi="宋体" w:eastAsia="宋体" w:cs="宋体"/>
          <w:color w:val="auto"/>
          <w:sz w:val="24"/>
          <w:szCs w:val="24"/>
          <w:highlight w:val="none"/>
        </w:rPr>
      </w:pPr>
    </w:p>
    <w:p w14:paraId="23E590FC">
      <w:pPr>
        <w:spacing w:line="360" w:lineRule="auto"/>
        <w:rPr>
          <w:rFonts w:hint="eastAsia" w:ascii="宋体" w:hAnsi="宋体" w:eastAsia="宋体" w:cs="宋体"/>
          <w:color w:val="auto"/>
          <w:sz w:val="24"/>
          <w:szCs w:val="24"/>
          <w:highlight w:val="none"/>
        </w:rPr>
      </w:pPr>
    </w:p>
    <w:p w14:paraId="6F58BAEE">
      <w:pPr>
        <w:spacing w:line="360" w:lineRule="auto"/>
        <w:rPr>
          <w:rFonts w:hint="eastAsia" w:ascii="宋体" w:hAnsi="宋体" w:eastAsia="宋体" w:cs="宋体"/>
          <w:color w:val="auto"/>
          <w:sz w:val="24"/>
          <w:szCs w:val="24"/>
          <w:highlight w:val="none"/>
        </w:rPr>
      </w:pPr>
    </w:p>
    <w:p w14:paraId="766DC782">
      <w:pPr>
        <w:spacing w:line="360" w:lineRule="auto"/>
        <w:rPr>
          <w:rFonts w:hint="eastAsia" w:ascii="宋体" w:hAnsi="宋体" w:eastAsia="宋体" w:cs="宋体"/>
          <w:color w:val="auto"/>
          <w:sz w:val="24"/>
          <w:szCs w:val="24"/>
          <w:highlight w:val="none"/>
        </w:rPr>
      </w:pPr>
    </w:p>
    <w:p w14:paraId="05FD6693">
      <w:pPr>
        <w:spacing w:line="360" w:lineRule="auto"/>
        <w:rPr>
          <w:rFonts w:hint="eastAsia" w:ascii="宋体" w:hAnsi="宋体" w:eastAsia="宋体" w:cs="宋体"/>
          <w:color w:val="auto"/>
          <w:sz w:val="32"/>
          <w:szCs w:val="32"/>
          <w:highlight w:val="none"/>
        </w:rPr>
      </w:pPr>
    </w:p>
    <w:p w14:paraId="57E1B7EE">
      <w:pPr>
        <w:spacing w:line="360" w:lineRule="auto"/>
        <w:rPr>
          <w:rFonts w:hint="eastAsia" w:ascii="宋体" w:hAnsi="宋体" w:eastAsia="宋体" w:cs="宋体"/>
          <w:color w:val="auto"/>
          <w:sz w:val="32"/>
          <w:szCs w:val="32"/>
          <w:highlight w:val="none"/>
        </w:rPr>
      </w:pPr>
    </w:p>
    <w:p w14:paraId="62CA8D20">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208FE6B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2"/>
        <w:tblW w:w="0" w:type="auto"/>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900"/>
        <w:gridCol w:w="1620"/>
        <w:gridCol w:w="1080"/>
        <w:gridCol w:w="2027"/>
      </w:tblGrid>
      <w:tr w14:paraId="7589F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76DDECFB">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C05FFA4">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64D87CF">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6AE25CE">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620" w:type="dxa"/>
            <w:tcBorders>
              <w:top w:val="single" w:color="auto" w:sz="4" w:space="0"/>
              <w:left w:val="single" w:color="auto" w:sz="4" w:space="0"/>
              <w:bottom w:val="single" w:color="auto" w:sz="4" w:space="0"/>
              <w:right w:val="single" w:color="auto" w:sz="4" w:space="0"/>
            </w:tcBorders>
            <w:noWrap w:val="0"/>
            <w:vAlign w:val="center"/>
          </w:tcPr>
          <w:p w14:paraId="74C9000C">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F489D67">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2027" w:type="dxa"/>
            <w:tcBorders>
              <w:top w:val="single" w:color="auto" w:sz="4" w:space="0"/>
              <w:left w:val="single" w:color="auto" w:sz="4" w:space="0"/>
              <w:bottom w:val="single" w:color="auto" w:sz="4" w:space="0"/>
              <w:right w:val="single" w:color="auto" w:sz="4" w:space="0"/>
            </w:tcBorders>
            <w:noWrap w:val="0"/>
            <w:vAlign w:val="center"/>
          </w:tcPr>
          <w:p w14:paraId="14C632DB">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1A8E0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restart"/>
            <w:tcBorders>
              <w:top w:val="single" w:color="auto" w:sz="4" w:space="0"/>
              <w:left w:val="single" w:color="auto" w:sz="4" w:space="0"/>
              <w:right w:val="single" w:color="auto" w:sz="4" w:space="0"/>
            </w:tcBorders>
            <w:noWrap w:val="0"/>
            <w:vAlign w:val="center"/>
          </w:tcPr>
          <w:p w14:paraId="3626368F">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XM2025 –DZ0014C3</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628E6BA">
            <w:pPr>
              <w:pStyle w:val="4"/>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2D40154">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粒状碎纸机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11930F9A">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200</w:t>
            </w:r>
          </w:p>
        </w:tc>
        <w:tc>
          <w:tcPr>
            <w:tcW w:w="1620" w:type="dxa"/>
            <w:vMerge w:val="restart"/>
            <w:tcBorders>
              <w:top w:val="single" w:color="auto" w:sz="4" w:space="0"/>
              <w:left w:val="single" w:color="auto" w:sz="4" w:space="0"/>
              <w:right w:val="single" w:color="auto" w:sz="4" w:space="0"/>
            </w:tcBorders>
            <w:noWrap w:val="0"/>
            <w:vAlign w:val="center"/>
          </w:tcPr>
          <w:p w14:paraId="4CE9A913">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vMerge w:val="restart"/>
            <w:tcBorders>
              <w:top w:val="single" w:color="auto" w:sz="4" w:space="0"/>
              <w:left w:val="single" w:color="auto" w:sz="4" w:space="0"/>
              <w:right w:val="single" w:color="auto" w:sz="4" w:space="0"/>
            </w:tcBorders>
            <w:noWrap w:val="0"/>
            <w:vAlign w:val="center"/>
          </w:tcPr>
          <w:p w14:paraId="4E452CD0">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2027" w:type="dxa"/>
            <w:vMerge w:val="restart"/>
            <w:tcBorders>
              <w:top w:val="single" w:color="auto" w:sz="4" w:space="0"/>
              <w:left w:val="single" w:color="auto" w:sz="4" w:space="0"/>
              <w:right w:val="single" w:color="auto" w:sz="4" w:space="0"/>
            </w:tcBorders>
            <w:noWrap w:val="0"/>
            <w:vAlign w:val="center"/>
          </w:tcPr>
          <w:p w14:paraId="1B82DA90">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厦门市政府机关事业单位和福建省内其他终端用户</w:t>
            </w:r>
          </w:p>
        </w:tc>
      </w:tr>
      <w:tr w14:paraId="17EC2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01F3C818">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3C751FB6">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1-2</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007EB9F">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粒状碎纸机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12BF846D">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600</w:t>
            </w:r>
          </w:p>
        </w:tc>
        <w:tc>
          <w:tcPr>
            <w:tcW w:w="1620" w:type="dxa"/>
            <w:vMerge w:val="continue"/>
            <w:tcBorders>
              <w:left w:val="single" w:color="auto" w:sz="4" w:space="0"/>
              <w:right w:val="single" w:color="auto" w:sz="4" w:space="0"/>
            </w:tcBorders>
            <w:noWrap w:val="0"/>
            <w:vAlign w:val="center"/>
          </w:tcPr>
          <w:p w14:paraId="152F00D3">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0F42DB90">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0"/>
            <w:vAlign w:val="center"/>
          </w:tcPr>
          <w:p w14:paraId="3AB92B4B">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39931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216CBBDF">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654C760F">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1-3</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3AC3DED9">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粒状碎纸机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4317E1CD">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2500</w:t>
            </w:r>
          </w:p>
        </w:tc>
        <w:tc>
          <w:tcPr>
            <w:tcW w:w="1620" w:type="dxa"/>
            <w:vMerge w:val="continue"/>
            <w:tcBorders>
              <w:left w:val="single" w:color="auto" w:sz="4" w:space="0"/>
              <w:right w:val="single" w:color="auto" w:sz="4" w:space="0"/>
            </w:tcBorders>
            <w:noWrap w:val="0"/>
            <w:vAlign w:val="center"/>
          </w:tcPr>
          <w:p w14:paraId="4A99ABB7">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647F38B2">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2027" w:type="dxa"/>
            <w:vMerge w:val="continue"/>
            <w:tcBorders>
              <w:left w:val="single" w:color="auto" w:sz="4" w:space="0"/>
              <w:right w:val="single" w:color="auto" w:sz="4" w:space="0"/>
            </w:tcBorders>
            <w:noWrap w:val="0"/>
            <w:vAlign w:val="center"/>
          </w:tcPr>
          <w:p w14:paraId="35A6FACD">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0D1B8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bottom w:val="single" w:color="auto" w:sz="4" w:space="0"/>
              <w:right w:val="single" w:color="auto" w:sz="4" w:space="0"/>
            </w:tcBorders>
            <w:noWrap w:val="0"/>
            <w:vAlign w:val="center"/>
          </w:tcPr>
          <w:p w14:paraId="71F47000">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lang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5E0D64D3">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1-4</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48D61E31">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粒状碎纸机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B4D2B77">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200</w:t>
            </w:r>
          </w:p>
        </w:tc>
        <w:tc>
          <w:tcPr>
            <w:tcW w:w="1620" w:type="dxa"/>
            <w:vMerge w:val="continue"/>
            <w:tcBorders>
              <w:left w:val="single" w:color="auto" w:sz="4" w:space="0"/>
              <w:bottom w:val="single" w:color="auto" w:sz="4" w:space="0"/>
              <w:right w:val="single" w:color="auto" w:sz="4" w:space="0"/>
            </w:tcBorders>
            <w:noWrap w:val="0"/>
            <w:vAlign w:val="center"/>
          </w:tcPr>
          <w:p w14:paraId="66DC89D1">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14:paraId="7DF0552D">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2027" w:type="dxa"/>
            <w:vMerge w:val="continue"/>
            <w:tcBorders>
              <w:left w:val="single" w:color="auto" w:sz="4" w:space="0"/>
              <w:bottom w:val="single" w:color="auto" w:sz="4" w:space="0"/>
              <w:right w:val="single" w:color="auto" w:sz="4" w:space="0"/>
            </w:tcBorders>
            <w:noWrap w:val="0"/>
            <w:vAlign w:val="center"/>
          </w:tcPr>
          <w:p w14:paraId="0B4D5AE4">
            <w:pPr>
              <w:pStyle w:val="4"/>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bl>
    <w:p w14:paraId="1BE917B4">
      <w:pPr>
        <w:spacing w:line="360" w:lineRule="auto"/>
        <w:jc w:val="both"/>
        <w:rPr>
          <w:rFonts w:hint="eastAsia" w:ascii="宋体" w:hAnsi="宋体" w:eastAsia="宋体" w:cs="宋体"/>
          <w:b/>
          <w:color w:val="auto"/>
          <w:sz w:val="32"/>
          <w:szCs w:val="32"/>
          <w:highlight w:val="none"/>
        </w:rPr>
      </w:pPr>
    </w:p>
    <w:p w14:paraId="5918357B">
      <w:pPr>
        <w:pStyle w:val="6"/>
        <w:tabs>
          <w:tab w:val="left" w:pos="836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注：投标人可按合同包投标，对同一合同包内所有品目号内容投标时必须完整。评标与授标以合同包为单位。</w:t>
      </w:r>
    </w:p>
    <w:p w14:paraId="5D432B83">
      <w:pPr>
        <w:pStyle w:val="6"/>
        <w:tabs>
          <w:tab w:val="left" w:pos="8360"/>
        </w:tabs>
        <w:spacing w:line="360" w:lineRule="auto"/>
        <w:jc w:val="left"/>
        <w:rPr>
          <w:rFonts w:hint="eastAsia" w:ascii="宋体" w:hAnsi="宋体" w:eastAsia="宋体" w:cs="宋体"/>
          <w:color w:val="auto"/>
          <w:sz w:val="24"/>
          <w:szCs w:val="24"/>
          <w:highlight w:val="none"/>
        </w:rPr>
      </w:pPr>
    </w:p>
    <w:p w14:paraId="5BFF0446">
      <w:pPr>
        <w:pStyle w:val="6"/>
        <w:tabs>
          <w:tab w:val="left" w:pos="8360"/>
        </w:tabs>
        <w:spacing w:line="360" w:lineRule="auto"/>
        <w:jc w:val="left"/>
        <w:rPr>
          <w:rFonts w:hint="eastAsia" w:ascii="宋体" w:hAnsi="宋体" w:eastAsia="宋体" w:cs="宋体"/>
          <w:color w:val="auto"/>
          <w:sz w:val="24"/>
          <w:szCs w:val="24"/>
          <w:highlight w:val="none"/>
        </w:rPr>
      </w:pPr>
    </w:p>
    <w:p w14:paraId="04EC6DE7">
      <w:pPr>
        <w:pStyle w:val="6"/>
        <w:tabs>
          <w:tab w:val="left" w:pos="8360"/>
        </w:tabs>
        <w:spacing w:line="360" w:lineRule="auto"/>
        <w:jc w:val="left"/>
        <w:rPr>
          <w:rFonts w:hint="eastAsia" w:ascii="宋体" w:hAnsi="宋体" w:eastAsia="宋体" w:cs="宋体"/>
          <w:color w:val="auto"/>
          <w:sz w:val="24"/>
          <w:szCs w:val="24"/>
          <w:highlight w:val="none"/>
        </w:rPr>
      </w:pPr>
    </w:p>
    <w:p w14:paraId="094250B0">
      <w:pPr>
        <w:pStyle w:val="6"/>
        <w:tabs>
          <w:tab w:val="left" w:pos="8360"/>
        </w:tabs>
        <w:spacing w:line="360" w:lineRule="auto"/>
        <w:jc w:val="left"/>
        <w:rPr>
          <w:rFonts w:hint="eastAsia" w:ascii="宋体" w:hAnsi="宋体" w:eastAsia="宋体" w:cs="宋体"/>
          <w:color w:val="auto"/>
          <w:sz w:val="24"/>
          <w:szCs w:val="24"/>
          <w:highlight w:val="none"/>
        </w:rPr>
      </w:pPr>
    </w:p>
    <w:p w14:paraId="3D1274F4">
      <w:pPr>
        <w:pStyle w:val="6"/>
        <w:tabs>
          <w:tab w:val="left" w:pos="8360"/>
        </w:tabs>
        <w:spacing w:line="360" w:lineRule="auto"/>
        <w:jc w:val="left"/>
        <w:rPr>
          <w:rFonts w:hint="eastAsia" w:ascii="宋体" w:hAnsi="宋体" w:eastAsia="宋体" w:cs="宋体"/>
          <w:color w:val="auto"/>
          <w:sz w:val="24"/>
          <w:szCs w:val="24"/>
          <w:highlight w:val="none"/>
        </w:rPr>
      </w:pPr>
    </w:p>
    <w:p w14:paraId="70201D97">
      <w:pPr>
        <w:pStyle w:val="6"/>
        <w:tabs>
          <w:tab w:val="left" w:pos="8360"/>
        </w:tabs>
        <w:spacing w:line="360" w:lineRule="auto"/>
        <w:jc w:val="left"/>
        <w:rPr>
          <w:rFonts w:hint="eastAsia" w:ascii="宋体" w:hAnsi="宋体" w:eastAsia="宋体" w:cs="宋体"/>
          <w:color w:val="auto"/>
          <w:sz w:val="24"/>
          <w:szCs w:val="24"/>
          <w:highlight w:val="none"/>
        </w:rPr>
      </w:pPr>
    </w:p>
    <w:p w14:paraId="0610DCB2">
      <w:pPr>
        <w:pStyle w:val="6"/>
        <w:tabs>
          <w:tab w:val="left" w:pos="8360"/>
        </w:tabs>
        <w:spacing w:line="360" w:lineRule="auto"/>
        <w:jc w:val="left"/>
        <w:rPr>
          <w:rFonts w:hint="eastAsia" w:ascii="宋体" w:hAnsi="宋体" w:eastAsia="宋体" w:cs="宋体"/>
          <w:color w:val="auto"/>
          <w:sz w:val="24"/>
          <w:szCs w:val="24"/>
          <w:highlight w:val="none"/>
        </w:rPr>
      </w:pPr>
    </w:p>
    <w:p w14:paraId="5B82D80D">
      <w:pPr>
        <w:pStyle w:val="6"/>
        <w:tabs>
          <w:tab w:val="left" w:pos="8360"/>
        </w:tabs>
        <w:spacing w:line="360" w:lineRule="auto"/>
        <w:jc w:val="left"/>
        <w:rPr>
          <w:rFonts w:hint="eastAsia" w:ascii="宋体" w:hAnsi="宋体" w:eastAsia="宋体" w:cs="宋体"/>
          <w:color w:val="auto"/>
          <w:sz w:val="24"/>
          <w:szCs w:val="24"/>
          <w:highlight w:val="none"/>
        </w:rPr>
      </w:pPr>
    </w:p>
    <w:p w14:paraId="65D69725">
      <w:pPr>
        <w:pStyle w:val="6"/>
        <w:tabs>
          <w:tab w:val="left" w:pos="8360"/>
        </w:tabs>
        <w:spacing w:line="360" w:lineRule="auto"/>
        <w:jc w:val="left"/>
        <w:rPr>
          <w:rFonts w:hint="eastAsia" w:ascii="宋体" w:hAnsi="宋体" w:eastAsia="宋体" w:cs="宋体"/>
          <w:color w:val="auto"/>
          <w:sz w:val="24"/>
          <w:szCs w:val="24"/>
          <w:highlight w:val="none"/>
        </w:rPr>
      </w:pPr>
    </w:p>
    <w:p w14:paraId="430510D7">
      <w:pPr>
        <w:pStyle w:val="6"/>
        <w:tabs>
          <w:tab w:val="left" w:pos="8360"/>
        </w:tabs>
        <w:spacing w:line="360" w:lineRule="auto"/>
        <w:jc w:val="left"/>
        <w:rPr>
          <w:rFonts w:hint="eastAsia" w:ascii="宋体" w:hAnsi="宋体" w:eastAsia="宋体" w:cs="宋体"/>
          <w:color w:val="auto"/>
          <w:sz w:val="24"/>
          <w:szCs w:val="24"/>
          <w:highlight w:val="none"/>
        </w:rPr>
      </w:pPr>
    </w:p>
    <w:p w14:paraId="7A935904">
      <w:pPr>
        <w:pStyle w:val="6"/>
        <w:tabs>
          <w:tab w:val="left" w:pos="8360"/>
        </w:tabs>
        <w:spacing w:line="360" w:lineRule="auto"/>
        <w:jc w:val="left"/>
        <w:rPr>
          <w:rFonts w:hint="eastAsia" w:ascii="宋体" w:hAnsi="宋体" w:eastAsia="宋体" w:cs="宋体"/>
          <w:color w:val="auto"/>
          <w:sz w:val="24"/>
          <w:szCs w:val="24"/>
          <w:highlight w:val="none"/>
        </w:rPr>
      </w:pPr>
    </w:p>
    <w:p w14:paraId="571E501A">
      <w:pPr>
        <w:pStyle w:val="6"/>
        <w:tabs>
          <w:tab w:val="left" w:pos="8360"/>
        </w:tabs>
        <w:spacing w:line="360" w:lineRule="auto"/>
        <w:jc w:val="left"/>
        <w:rPr>
          <w:rFonts w:hint="eastAsia" w:ascii="宋体" w:hAnsi="宋体" w:eastAsia="宋体" w:cs="宋体"/>
          <w:color w:val="auto"/>
          <w:sz w:val="24"/>
          <w:szCs w:val="24"/>
          <w:highlight w:val="none"/>
        </w:rPr>
      </w:pPr>
    </w:p>
    <w:p w14:paraId="2F213245">
      <w:pPr>
        <w:pStyle w:val="6"/>
        <w:tabs>
          <w:tab w:val="left" w:pos="8360"/>
        </w:tabs>
        <w:spacing w:line="360" w:lineRule="auto"/>
        <w:jc w:val="left"/>
        <w:rPr>
          <w:rFonts w:hint="eastAsia" w:ascii="宋体" w:hAnsi="宋体" w:eastAsia="宋体" w:cs="宋体"/>
          <w:color w:val="auto"/>
          <w:sz w:val="24"/>
          <w:szCs w:val="24"/>
          <w:highlight w:val="none"/>
        </w:rPr>
      </w:pPr>
    </w:p>
    <w:p w14:paraId="4ECB7C65">
      <w:pPr>
        <w:pStyle w:val="3"/>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11637244">
      <w:pPr>
        <w:pStyle w:val="16"/>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第二章  投标人须知</w:t>
      </w:r>
    </w:p>
    <w:p w14:paraId="2D13469B">
      <w:pPr>
        <w:pStyle w:val="16"/>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投标人须知前附表1</w:t>
      </w:r>
    </w:p>
    <w:p w14:paraId="5D06FF3C">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4343D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31C0953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2332643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14:paraId="1E419D3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55D1A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7B77C11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1273F7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14:paraId="3E058A3B">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项目名称：2025年大宗碎纸机采购</w:t>
            </w:r>
          </w:p>
          <w:p w14:paraId="1FC7317A">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1E541536">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cs="宋体"/>
                <w:color w:val="auto"/>
                <w:sz w:val="24"/>
                <w:szCs w:val="24"/>
                <w:highlight w:val="none"/>
              </w:rPr>
              <w:t xml:space="preserve">采购单位地址：厦门市湖里区机场北路476号五楼 </w:t>
            </w:r>
          </w:p>
          <w:p w14:paraId="778EFC96">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项目内容：2025年大宗碎纸机采购</w:t>
            </w:r>
          </w:p>
          <w:p w14:paraId="4D1D9304">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u w:val="single"/>
                <w:lang w:eastAsia="zh-CN"/>
              </w:rPr>
              <w:t>XM2025-DZ0014C3</w:t>
            </w:r>
          </w:p>
          <w:p w14:paraId="45066225">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采购预算：</w:t>
            </w:r>
            <w:r>
              <w:rPr>
                <w:rFonts w:hint="eastAsia" w:ascii="宋体" w:hAnsi="宋体" w:cs="宋体"/>
                <w:color w:val="auto"/>
                <w:sz w:val="24"/>
                <w:szCs w:val="24"/>
                <w:highlight w:val="none"/>
                <w:u w:val="single"/>
              </w:rPr>
              <w:t>人民币218万元整</w:t>
            </w:r>
          </w:p>
        </w:tc>
      </w:tr>
      <w:tr w14:paraId="18E94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291FD5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23E55E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14:paraId="68A6D18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34B2683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52D9D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5AF59F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6D7F54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14:paraId="77B8F5D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eastAsia" w:ascii="宋体" w:hAnsi="宋体" w:cs="宋体"/>
                <w:color w:val="auto"/>
                <w:sz w:val="24"/>
                <w:szCs w:val="24"/>
                <w:highlight w:val="none"/>
                <w:u w:val="single"/>
                <w:lang w:val="en-US" w:eastAsia="zh-CN"/>
              </w:rPr>
              <w:t>180</w:t>
            </w:r>
            <w:r>
              <w:rPr>
                <w:rFonts w:hint="eastAsia" w:ascii="宋体" w:hAnsi="宋体" w:eastAsia="宋体" w:cs="宋体"/>
                <w:color w:val="auto"/>
                <w:sz w:val="24"/>
                <w:szCs w:val="24"/>
                <w:highlight w:val="none"/>
              </w:rPr>
              <w:t>个日历日。</w:t>
            </w:r>
          </w:p>
          <w:p w14:paraId="0FB4999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24202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548F22D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6B384C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14:paraId="2C9B6A3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2132DE8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497F6CA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2CE1C1F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③经评审，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所有采购标的均为中小企业（含个体工商户）制造的货物，或者监狱企业提供本单位制造的货物；或者残疾人福利性单位提供本单位制造的货物（或提供其他残疾人福利性单位制造的货物），投标保证金</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w:t>
            </w:r>
            <w:r>
              <w:rPr>
                <w:rFonts w:hint="eastAsia" w:ascii="宋体" w:hAnsi="宋体" w:cs="宋体"/>
                <w:color w:val="auto"/>
                <w:sz w:val="24"/>
                <w:szCs w:val="24"/>
                <w:highlight w:val="none"/>
                <w:lang w:val="en-US" w:eastAsia="zh-CN"/>
              </w:rPr>
              <w:t>全免</w:t>
            </w:r>
            <w:r>
              <w:rPr>
                <w:rFonts w:hint="eastAsia" w:ascii="宋体" w:hAnsi="宋体" w:eastAsia="宋体" w:cs="宋体"/>
                <w:color w:val="auto"/>
                <w:sz w:val="24"/>
                <w:szCs w:val="24"/>
                <w:highlight w:val="none"/>
                <w:lang w:val="en-US" w:eastAsia="zh-CN"/>
              </w:rPr>
              <w:t>交纳投标保证金的投标人应按照招标文件格式要求在投标文件中提供《中小企业声明函》。</w:t>
            </w:r>
          </w:p>
          <w:p w14:paraId="145B422F">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3452143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76C2F75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1687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490CE913">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6174B4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14:paraId="436029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437F66F3">
            <w:pPr>
              <w:pStyle w:val="6"/>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详见《投标人须知前附表3》。</w:t>
            </w:r>
          </w:p>
        </w:tc>
      </w:tr>
      <w:tr w14:paraId="3CBFD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263E0B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11FAD853">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14:paraId="5A278A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590B59DA">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2C351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67B735B">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2F59207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1DFB5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EC5733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197442D4">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15D86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95618DF">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3533986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347AA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E657A60">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5A5F2E96">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162A7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9870A27">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1EBFCD95">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4A3D1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ED08AA0">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12952DD3">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14CA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E3D7C5B">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538F245D">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4BAC7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8DD18A9">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3F1BD63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411C7F90">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注：1、本项目代理服务费按每批次《定货单》金额的收费标准收取，中标供应商最迟在采购单位发出《定货单》之日起10个工作日内向招标代理机构缴交代理服务费。代理服务费的收取按差额定率累进法计算,由中标供应商支付。中标服务费按每个《定货单》金额分别收取，《定货单》金额不予累加。</w:t>
            </w:r>
          </w:p>
          <w:p w14:paraId="0436F817">
            <w:pPr>
              <w:keepNext w:val="0"/>
              <w:keepLines w:val="0"/>
              <w:suppressLineNumbers w:val="0"/>
              <w:spacing w:before="0" w:beforeAutospacing="0" w:after="0" w:afterAutospacing="0" w:line="360" w:lineRule="auto"/>
              <w:ind w:left="0" w:right="0"/>
              <w:rPr>
                <w:rFonts w:hint="default" w:ascii="宋体" w:hAnsi="宋体" w:cs="宋体"/>
                <w:color w:val="auto"/>
                <w:sz w:val="24"/>
                <w:szCs w:val="24"/>
                <w:highlight w:val="none"/>
              </w:rPr>
            </w:pPr>
            <w:r>
              <w:rPr>
                <w:rFonts w:hint="eastAsia" w:ascii="宋体" w:hAnsi="宋体" w:cs="宋体"/>
                <w:color w:val="auto"/>
                <w:sz w:val="24"/>
                <w:szCs w:val="24"/>
                <w:highlight w:val="none"/>
              </w:rPr>
              <w:t>2、中标供应商以转账或汇款方式提交。</w:t>
            </w:r>
          </w:p>
          <w:p w14:paraId="7738495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3、经评审，若所有采购标的均为中小企业（含个体工商户）制造的货物，或者监狱企业提供本单位制造的货物；或者残疾人福利性单位提供本单位制造的货物（或提供其他残疾人福利性单位制造的货物），代理服务费按照上述服务收费标准下浮10%进行支付。</w:t>
            </w:r>
          </w:p>
        </w:tc>
      </w:tr>
      <w:tr w14:paraId="44A42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C293B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6EA22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1B255EA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w:t>
            </w:r>
            <w:r>
              <w:rPr>
                <w:rFonts w:hint="eastAsia" w:ascii="宋体" w:hAnsi="宋体" w:eastAsia="宋体" w:cs="宋体"/>
                <w:color w:val="auto"/>
                <w:sz w:val="24"/>
                <w:szCs w:val="24"/>
                <w:highlight w:val="none"/>
              </w:rPr>
              <w:t>厦门市财政局</w:t>
            </w:r>
            <w:r>
              <w:rPr>
                <w:rFonts w:hint="eastAsia" w:ascii="宋体" w:hAnsi="宋体" w:eastAsia="宋体" w:cs="宋体"/>
                <w:color w:val="auto"/>
                <w:sz w:val="24"/>
                <w:szCs w:val="24"/>
                <w:highlight w:val="none"/>
              </w:rPr>
              <w:t>。</w:t>
            </w:r>
          </w:p>
        </w:tc>
      </w:tr>
      <w:tr w14:paraId="68A78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28379B4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06D1C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0F97355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r w14:paraId="487D8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75FCAC1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B5122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57BD422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1、关于证明材料或资料：</w:t>
            </w:r>
          </w:p>
          <w:p w14:paraId="77167B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7ACD9E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b.若投标人提供注明“复印件无效”或“复印无效”的证明材料或资料，应结合上文a条款进行判定，若招标文件未要求投标人提供原件，投标人提供原件，复印件（含扫描件）均视为满足招标文件要求。</w:t>
            </w:r>
          </w:p>
          <w:p w14:paraId="675BB1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2、关于“全称”、“投标人代表签字”及“加盖单位公章”：</w:t>
            </w:r>
          </w:p>
          <w:p w14:paraId="25CF938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a.在电子投标文件中，涉及“全称”和“投标人代表签字”的内容可使用打字录入方式完成。</w:t>
            </w:r>
          </w:p>
          <w:p w14:paraId="38DFCE4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b.在电子投标文件中，涉及“加盖单位公章”的内容应使用投标人的CA证书完成，否则投标无效。</w:t>
            </w:r>
          </w:p>
          <w:p w14:paraId="2FCE0C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c.在电子投标文件中，若投标人按照第b项规定加盖其单位公章，则出现无全称、或投标人代表未签字等情形，不视为投标无效。</w:t>
            </w:r>
          </w:p>
          <w:p w14:paraId="2E54DE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cs="宋体"/>
                <w:color w:val="auto"/>
                <w:spacing w:val="0"/>
                <w:kern w:val="0"/>
                <w:sz w:val="24"/>
                <w:szCs w:val="24"/>
                <w:highlight w:val="none"/>
                <w:lang w:val="en-US" w:eastAsia="zh-CN"/>
              </w:rPr>
              <w:t>3</w:t>
            </w:r>
            <w:r>
              <w:rPr>
                <w:rFonts w:hint="eastAsia" w:ascii="宋体" w:hAnsi="宋体" w:eastAsia="宋体" w:cs="宋体"/>
                <w:color w:val="auto"/>
                <w:spacing w:val="0"/>
                <w:kern w:val="0"/>
                <w:sz w:val="24"/>
                <w:szCs w:val="24"/>
                <w:highlight w:val="none"/>
                <w:lang w:val="en-US" w:eastAsia="zh-CN"/>
              </w:rPr>
              <w:t>、关于投标截止时间过后</w:t>
            </w:r>
            <w:r>
              <w:rPr>
                <w:rFonts w:hint="eastAsia" w:ascii="宋体" w:hAnsi="宋体" w:cs="宋体"/>
                <w:color w:val="auto"/>
                <w:spacing w:val="0"/>
                <w:kern w:val="0"/>
                <w:sz w:val="24"/>
                <w:szCs w:val="24"/>
                <w:highlight w:val="none"/>
                <w:lang w:val="en-US" w:eastAsia="zh-CN"/>
              </w:rPr>
              <w:t>，</w:t>
            </w:r>
            <w:r>
              <w:rPr>
                <w:rFonts w:hint="eastAsia" w:ascii="宋体" w:hAnsi="宋体" w:eastAsia="宋体" w:cs="宋体"/>
                <w:color w:val="auto"/>
                <w:spacing w:val="0"/>
                <w:kern w:val="0"/>
                <w:sz w:val="24"/>
                <w:szCs w:val="24"/>
                <w:highlight w:val="none"/>
                <w:lang w:val="en-US" w:eastAsia="zh-CN"/>
              </w:rPr>
              <w:t>有下列情形之一的，其投标无效,其保证金不予退还：</w:t>
            </w:r>
          </w:p>
          <w:p w14:paraId="54AF0D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a.不同投标人的电子投标文件具有相同内部识别码；</w:t>
            </w:r>
          </w:p>
          <w:p w14:paraId="3FD683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pacing w:val="0"/>
                <w:kern w:val="0"/>
                <w:sz w:val="24"/>
                <w:szCs w:val="24"/>
                <w:highlight w:val="none"/>
                <w:lang w:val="en-US" w:eastAsia="zh-CN"/>
              </w:rPr>
            </w:pPr>
            <w:r>
              <w:rPr>
                <w:rFonts w:hint="eastAsia" w:ascii="宋体" w:hAnsi="宋体" w:eastAsia="宋体" w:cs="宋体"/>
                <w:color w:val="auto"/>
                <w:spacing w:val="0"/>
                <w:kern w:val="0"/>
                <w:sz w:val="24"/>
                <w:szCs w:val="24"/>
                <w:highlight w:val="none"/>
                <w:lang w:val="en-US" w:eastAsia="zh-CN"/>
              </w:rPr>
              <w:t>b.投标人的投标保证金同一采购包下有其他投标人提交的投标保证金；</w:t>
            </w:r>
          </w:p>
          <w:p w14:paraId="7484D9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kern w:val="0"/>
                <w:sz w:val="24"/>
                <w:szCs w:val="24"/>
                <w:highlight w:val="none"/>
                <w:lang w:val="en-US" w:eastAsia="zh-CN"/>
              </w:rPr>
              <w:t>c.不同投标人存在串通投标的其他情形。</w:t>
            </w:r>
          </w:p>
        </w:tc>
      </w:tr>
    </w:tbl>
    <w:p w14:paraId="79A82025">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08256EFE">
      <w:pPr>
        <w:spacing w:line="360" w:lineRule="auto"/>
        <w:jc w:val="center"/>
        <w:rPr>
          <w:rFonts w:hint="eastAsia" w:ascii="宋体" w:hAnsi="宋体" w:eastAsia="宋体" w:cs="宋体"/>
          <w:b/>
          <w:bCs/>
          <w:color w:val="auto"/>
          <w:sz w:val="24"/>
          <w:szCs w:val="24"/>
          <w:highlight w:val="none"/>
          <w:u w:val="single"/>
        </w:rPr>
      </w:pPr>
    </w:p>
    <w:p w14:paraId="096DBB70">
      <w:pPr>
        <w:spacing w:line="360" w:lineRule="auto"/>
        <w:jc w:val="center"/>
        <w:rPr>
          <w:rFonts w:hint="eastAsia" w:ascii="宋体" w:hAnsi="宋体" w:eastAsia="宋体" w:cs="宋体"/>
          <w:b/>
          <w:bCs/>
          <w:color w:val="auto"/>
          <w:sz w:val="24"/>
          <w:szCs w:val="24"/>
          <w:highlight w:val="none"/>
          <w:u w:val="single"/>
        </w:rPr>
      </w:pPr>
    </w:p>
    <w:p w14:paraId="1D8DDC17">
      <w:pPr>
        <w:spacing w:line="360" w:lineRule="auto"/>
        <w:jc w:val="center"/>
        <w:rPr>
          <w:rFonts w:hint="eastAsia" w:ascii="宋体" w:hAnsi="宋体" w:eastAsia="宋体" w:cs="宋体"/>
          <w:b/>
          <w:bCs/>
          <w:color w:val="auto"/>
          <w:sz w:val="24"/>
          <w:szCs w:val="24"/>
          <w:highlight w:val="none"/>
          <w:u w:val="single"/>
        </w:rPr>
      </w:pPr>
    </w:p>
    <w:p w14:paraId="6C218C87">
      <w:pPr>
        <w:spacing w:line="360" w:lineRule="auto"/>
        <w:jc w:val="center"/>
        <w:rPr>
          <w:rFonts w:hint="eastAsia" w:ascii="宋体" w:hAnsi="宋体" w:eastAsia="宋体" w:cs="宋体"/>
          <w:b/>
          <w:bCs/>
          <w:color w:val="auto"/>
          <w:sz w:val="24"/>
          <w:szCs w:val="24"/>
          <w:highlight w:val="none"/>
          <w:u w:val="single"/>
        </w:rPr>
      </w:pPr>
    </w:p>
    <w:p w14:paraId="060FEFDC">
      <w:pPr>
        <w:spacing w:line="360" w:lineRule="auto"/>
        <w:jc w:val="center"/>
        <w:rPr>
          <w:rFonts w:hint="eastAsia" w:ascii="宋体" w:hAnsi="宋体" w:eastAsia="宋体" w:cs="宋体"/>
          <w:b/>
          <w:bCs/>
          <w:color w:val="auto"/>
          <w:sz w:val="24"/>
          <w:szCs w:val="24"/>
          <w:highlight w:val="none"/>
          <w:u w:val="single"/>
        </w:rPr>
      </w:pPr>
    </w:p>
    <w:p w14:paraId="5D87F25F">
      <w:pPr>
        <w:spacing w:line="360" w:lineRule="auto"/>
        <w:jc w:val="center"/>
        <w:rPr>
          <w:rFonts w:hint="eastAsia" w:ascii="宋体" w:hAnsi="宋体" w:eastAsia="宋体" w:cs="宋体"/>
          <w:b/>
          <w:bCs/>
          <w:color w:val="auto"/>
          <w:sz w:val="24"/>
          <w:szCs w:val="24"/>
          <w:highlight w:val="none"/>
          <w:u w:val="single"/>
        </w:rPr>
      </w:pPr>
    </w:p>
    <w:p w14:paraId="149CB79D">
      <w:pPr>
        <w:spacing w:line="360" w:lineRule="auto"/>
        <w:jc w:val="center"/>
        <w:rPr>
          <w:rFonts w:hint="eastAsia" w:ascii="宋体" w:hAnsi="宋体" w:eastAsia="宋体" w:cs="宋体"/>
          <w:b/>
          <w:bCs/>
          <w:color w:val="auto"/>
          <w:sz w:val="32"/>
          <w:szCs w:val="32"/>
          <w:highlight w:val="none"/>
          <w:u w:val="single"/>
        </w:rPr>
      </w:pPr>
    </w:p>
    <w:p w14:paraId="44137E19">
      <w:pPr>
        <w:spacing w:line="360" w:lineRule="auto"/>
        <w:ind w:firstLine="1285" w:firstLineChars="400"/>
        <w:jc w:val="both"/>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112CDEFC">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643"/>
        <w:gridCol w:w="994"/>
        <w:gridCol w:w="7579"/>
      </w:tblGrid>
      <w:tr w14:paraId="2739A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88" w:type="dxa"/>
            <w:gridSpan w:val="4"/>
            <w:noWrap w:val="0"/>
            <w:vAlign w:val="top"/>
          </w:tcPr>
          <w:p w14:paraId="7F84AD6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504A1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center"/>
          </w:tcPr>
          <w:p w14:paraId="7AD8FD6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项号</w:t>
            </w:r>
          </w:p>
        </w:tc>
        <w:tc>
          <w:tcPr>
            <w:tcW w:w="643" w:type="dxa"/>
            <w:tcBorders>
              <w:bottom w:val="single" w:color="auto" w:sz="4" w:space="0"/>
            </w:tcBorders>
            <w:noWrap w:val="0"/>
            <w:vAlign w:val="center"/>
          </w:tcPr>
          <w:p w14:paraId="535DB76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994" w:type="dxa"/>
            <w:tcBorders>
              <w:bottom w:val="single" w:color="auto" w:sz="4" w:space="0"/>
            </w:tcBorders>
            <w:noWrap w:val="0"/>
            <w:vAlign w:val="center"/>
          </w:tcPr>
          <w:p w14:paraId="4D06F83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7579" w:type="dxa"/>
            <w:tcBorders>
              <w:bottom w:val="single" w:color="auto" w:sz="4" w:space="0"/>
            </w:tcBorders>
            <w:noWrap w:val="0"/>
            <w:vAlign w:val="center"/>
          </w:tcPr>
          <w:p w14:paraId="55412731">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5E7BC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014D9D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59A8F9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C01CB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4CCC3B5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3756B77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6B760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4BE49D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4FD322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B6ED2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24F762C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257E634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2ACC150E">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20F51E5A">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0C59615B">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）投标人已提供加载有统一社会信用代码营业执照的，视为已提供税务登记证和组织机构代码证。</w:t>
            </w:r>
          </w:p>
          <w:p w14:paraId="1D3298E8">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（3）</w:t>
            </w:r>
            <w:r>
              <w:rPr>
                <w:rFonts w:hint="eastAsia" w:ascii="宋体" w:hAnsi="宋体" w:eastAsia="宋体" w:cs="宋体"/>
                <w:color w:val="auto"/>
                <w:sz w:val="24"/>
                <w:szCs w:val="24"/>
                <w:highlight w:val="none"/>
                <w:lang w:val="en-US" w:eastAsia="zh-CN"/>
              </w:rPr>
              <w:t>按要求提供</w:t>
            </w:r>
            <w:r>
              <w:rPr>
                <w:rFonts w:hint="eastAsia" w:ascii="宋体" w:hAnsi="宋体" w:cs="宋体"/>
                <w:color w:val="auto"/>
                <w:sz w:val="24"/>
                <w:szCs w:val="24"/>
                <w:highlight w:val="none"/>
                <w:lang w:val="en-US" w:eastAsia="zh-CN"/>
              </w:rPr>
              <w:t>福建省</w:t>
            </w:r>
            <w:r>
              <w:rPr>
                <w:rFonts w:hint="eastAsia" w:ascii="宋体" w:hAnsi="宋体" w:cs="宋体"/>
                <w:color w:val="auto"/>
                <w:sz w:val="24"/>
                <w:szCs w:val="24"/>
                <w:highlight w:val="none"/>
              </w:rPr>
              <w:t>政府采购供应商资格承诺函</w:t>
            </w:r>
            <w:r>
              <w:rPr>
                <w:rFonts w:hint="eastAsia" w:ascii="宋体" w:hAnsi="宋体" w:eastAsia="宋体" w:cs="宋体"/>
                <w:color w:val="auto"/>
                <w:sz w:val="24"/>
                <w:szCs w:val="24"/>
                <w:highlight w:val="none"/>
                <w:lang w:eastAsia="zh-CN"/>
              </w:rPr>
              <w:t>。</w:t>
            </w:r>
          </w:p>
        </w:tc>
      </w:tr>
      <w:tr w14:paraId="7B60E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40A47581">
            <w:pPr>
              <w:keepNext w:val="0"/>
              <w:keepLines w:val="0"/>
              <w:suppressLineNumbers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48C5CD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8ECBD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77C1FB7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398A911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7BAAAFF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F4EE2C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511355BB">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1C506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0A9AE2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602271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2FC96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4FC921B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3.6属于联合体投标的，由联合体中的一方负责网上投标事宜，该方的网上投标行为及其递交的投标文件等资料对联合体各方均具有约束力。</w:t>
            </w:r>
          </w:p>
        </w:tc>
      </w:tr>
      <w:tr w14:paraId="55D7B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737760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05484E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4C36C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5DEF61E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019E6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169E42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0E1F74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E2EAF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0E3F9CF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3.9投标人必须在招标文件购买截止时间前，上网点击相关费用缴交，并将相关费用缴交至收款单位账户。否则投标人将无权下载招标文件，且不具备投标资格。</w:t>
            </w:r>
          </w:p>
        </w:tc>
      </w:tr>
      <w:tr w14:paraId="2F4A2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04A592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4B44B9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center"/>
          </w:tcPr>
          <w:p w14:paraId="1FDEA4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tcBorders>
              <w:top w:val="single" w:color="auto" w:sz="4" w:space="0"/>
              <w:left w:val="single" w:color="auto" w:sz="4" w:space="0"/>
              <w:bottom w:val="single" w:color="auto" w:sz="4" w:space="0"/>
              <w:right w:val="single" w:color="auto" w:sz="4" w:space="0"/>
            </w:tcBorders>
            <w:noWrap w:val="0"/>
            <w:vAlign w:val="center"/>
          </w:tcPr>
          <w:p w14:paraId="64F0351B">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w:t>
            </w:r>
            <w:r>
              <w:rPr>
                <w:rFonts w:hint="eastAsia" w:ascii="宋体" w:hAnsi="宋体" w:cs="宋体"/>
                <w:color w:val="auto"/>
                <w:sz w:val="24"/>
                <w:szCs w:val="24"/>
                <w:highlight w:val="none"/>
                <w:lang w:eastAsia="zh-CN"/>
              </w:rPr>
              <w:t>信用中国(福建厦门)（credit.xm.gov.cn）</w:t>
            </w:r>
            <w:r>
              <w:rPr>
                <w:rFonts w:hint="eastAsia" w:ascii="宋体" w:hAnsi="宋体" w:eastAsia="宋体" w:cs="宋体"/>
                <w:color w:val="auto"/>
                <w:sz w:val="24"/>
                <w:szCs w:val="24"/>
                <w:highlight w:val="none"/>
              </w:rPr>
              <w:t>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5C366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1F6DFF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43" w:type="dxa"/>
            <w:tcBorders>
              <w:top w:val="single" w:color="auto" w:sz="4" w:space="0"/>
              <w:left w:val="single" w:color="auto" w:sz="4" w:space="0"/>
              <w:bottom w:val="single" w:color="auto" w:sz="4" w:space="0"/>
              <w:right w:val="single" w:color="auto" w:sz="4" w:space="0"/>
            </w:tcBorders>
            <w:noWrap w:val="0"/>
            <w:vAlign w:val="top"/>
          </w:tcPr>
          <w:p w14:paraId="07F2626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14:paraId="34B77B2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p>
        </w:tc>
        <w:tc>
          <w:tcPr>
            <w:tcW w:w="7579" w:type="dxa"/>
            <w:tcBorders>
              <w:top w:val="single" w:color="auto" w:sz="4" w:space="0"/>
              <w:left w:val="single" w:color="auto" w:sz="4" w:space="0"/>
              <w:bottom w:val="single" w:color="auto" w:sz="4" w:space="0"/>
              <w:right w:val="single" w:color="auto" w:sz="4" w:space="0"/>
            </w:tcBorders>
            <w:noWrap w:val="0"/>
            <w:vAlign w:val="top"/>
          </w:tcPr>
          <w:p w14:paraId="0226CCF5">
            <w:pPr>
              <w:keepNext w:val="0"/>
              <w:keepLines w:val="0"/>
              <w:suppressLineNumbers w:val="0"/>
              <w:spacing w:before="0" w:beforeAutospacing="0" w:after="0" w:afterAutospacing="0" w:line="360" w:lineRule="auto"/>
              <w:ind w:left="0" w:right="0" w:firstLine="482" w:firstLineChars="20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*1、投标人应具备独立的企业法人资格，并提供法人营业执照副本扫描件。</w:t>
            </w:r>
          </w:p>
        </w:tc>
      </w:tr>
      <w:tr w14:paraId="18A19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28140C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43" w:type="dxa"/>
            <w:tcBorders>
              <w:top w:val="single" w:color="auto" w:sz="4" w:space="0"/>
              <w:left w:val="single" w:color="auto" w:sz="4" w:space="0"/>
              <w:bottom w:val="single" w:color="auto" w:sz="4" w:space="0"/>
              <w:right w:val="single" w:color="auto" w:sz="4" w:space="0"/>
            </w:tcBorders>
            <w:noWrap w:val="0"/>
            <w:vAlign w:val="top"/>
          </w:tcPr>
          <w:p w14:paraId="3918024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14:paraId="0522D63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p>
        </w:tc>
        <w:tc>
          <w:tcPr>
            <w:tcW w:w="7579" w:type="dxa"/>
            <w:tcBorders>
              <w:top w:val="single" w:color="auto" w:sz="4" w:space="0"/>
              <w:left w:val="single" w:color="auto" w:sz="4" w:space="0"/>
              <w:bottom w:val="single" w:color="auto" w:sz="4" w:space="0"/>
              <w:right w:val="single" w:color="auto" w:sz="4" w:space="0"/>
            </w:tcBorders>
            <w:noWrap w:val="0"/>
            <w:vAlign w:val="top"/>
          </w:tcPr>
          <w:p w14:paraId="68D069AF">
            <w:pPr>
              <w:keepNext w:val="0"/>
              <w:keepLines w:val="0"/>
              <w:suppressLineNumbers w:val="0"/>
              <w:spacing w:before="0" w:beforeAutospacing="0" w:after="0" w:afterAutospacing="0" w:line="360" w:lineRule="auto"/>
              <w:ind w:left="0" w:right="0" w:firstLine="482" w:firstLineChars="20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*2、投标人全权代表若不是企业法定代表人，应提供法人授权书原件，并提供被授权代表身份证扫描件。</w:t>
            </w:r>
          </w:p>
        </w:tc>
      </w:tr>
      <w:tr w14:paraId="52974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88" w:type="dxa"/>
            <w:gridSpan w:val="4"/>
            <w:tcBorders>
              <w:top w:val="single" w:color="auto" w:sz="4" w:space="0"/>
              <w:left w:val="single" w:color="auto" w:sz="4" w:space="0"/>
              <w:bottom w:val="single" w:color="auto" w:sz="4" w:space="0"/>
              <w:right w:val="single" w:color="auto" w:sz="4" w:space="0"/>
            </w:tcBorders>
            <w:noWrap w:val="0"/>
            <w:vAlign w:val="center"/>
          </w:tcPr>
          <w:p w14:paraId="57E70329">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rPr>
              <w:t>符合性要求</w:t>
            </w:r>
          </w:p>
        </w:tc>
      </w:tr>
      <w:tr w14:paraId="01EB6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634C16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765898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FC06B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38D751F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0F593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43D1F9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1F5E16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12632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59701D7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4A200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73140EB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43EF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739FF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01C0377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0A040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2C3427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589C42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F33C1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2BF0CB2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1EC6FD3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3F5116C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3402700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653B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396F19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6A263B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E65B5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5E29BE2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2C1A3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40ACAB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5A24A6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80BF7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3880303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3CE287A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6E350E4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43A2FC6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67B4BDC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44D6EC1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79697F5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18908C6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3146AF6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41B4790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25EB09E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1F4C52C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3D46263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295FADD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2A9337C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w:t>
            </w:r>
            <w:r>
              <w:rPr>
                <w:rFonts w:hint="eastAsia" w:ascii="宋体" w:hAnsi="宋体" w:eastAsia="宋体" w:cs="宋体"/>
                <w:color w:val="auto"/>
                <w:sz w:val="24"/>
                <w:szCs w:val="24"/>
                <w:highlight w:val="none"/>
              </w:rPr>
              <w:t>利害关系的人</w:t>
            </w:r>
            <w:r>
              <w:rPr>
                <w:rFonts w:hint="eastAsia" w:ascii="宋体" w:hAnsi="宋体" w:eastAsia="宋体" w:cs="宋体"/>
                <w:color w:val="auto"/>
                <w:sz w:val="24"/>
                <w:szCs w:val="24"/>
                <w:highlight w:val="none"/>
              </w:rPr>
              <w:t>携带两个以上（含两个）投标人的企业资料参与资格审查、领取招标资料，或代表两个以上（含两个）投标人参加招标答疑会、交纳或退还投标保证金、开标的；</w:t>
            </w:r>
          </w:p>
          <w:p w14:paraId="275F818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3CAC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484988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0E6BB6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6971E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319C6F1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8.1投标人应仔细阅读供应商操作手册和招标文件的所有内容，按照相关要求提交投标文件。</w:t>
            </w:r>
            <w:r>
              <w:rPr>
                <w:rFonts w:hint="eastAsia" w:ascii="宋体" w:hAnsi="宋体" w:eastAsia="宋体" w:cs="宋体"/>
                <w:b/>
                <w:color w:val="auto"/>
                <w:sz w:val="24"/>
                <w:szCs w:val="24"/>
                <w:highlight w:val="none"/>
              </w:rPr>
              <w:t>投标文件应对招标文件的要求作出实质性响应，并保证所提供的全部资料的真实性，否则其投标将被拒绝。</w:t>
            </w:r>
          </w:p>
        </w:tc>
      </w:tr>
      <w:tr w14:paraId="5B2C1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0DEBEC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20BBF3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C31C39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2EC6DD0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 除非有另外的规定，投标人可对招标货物（服务）一览表所列的全部合同包或部分合同包进行投标。招标采购单位不接受有任何可选择性的报价，每一种货物（服务）只能有一个报价，否则其投标将被拒绝。</w:t>
            </w:r>
          </w:p>
        </w:tc>
      </w:tr>
      <w:tr w14:paraId="2AE86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09ECC7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66A44E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44CD4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10.2</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272FAD2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10.2投标文件必须包括下列部分，否则其投标将按照无效投标处理：</w:t>
            </w:r>
          </w:p>
          <w:p w14:paraId="7977B7F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10B2D05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商务条款响应书</w:t>
            </w:r>
          </w:p>
          <w:p w14:paraId="10710D1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技术条款响应书</w:t>
            </w:r>
          </w:p>
          <w:p w14:paraId="67F18FA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投标书</w:t>
            </w:r>
          </w:p>
          <w:p w14:paraId="2B937E5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投标分项报价表</w:t>
            </w:r>
          </w:p>
          <w:p w14:paraId="5EE9677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货物说明一览表</w:t>
            </w:r>
          </w:p>
          <w:p w14:paraId="3A8CDD8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供货范围清单</w:t>
            </w:r>
          </w:p>
          <w:p w14:paraId="2BF9353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技术规格和商务响应表</w:t>
            </w:r>
          </w:p>
          <w:p w14:paraId="02C0C7B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35B2C3F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tc>
      </w:tr>
      <w:tr w14:paraId="4C926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1412FE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0FADA8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E8381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72FC241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11.1投标有效期：投标截止之日起</w:t>
            </w:r>
            <w:r>
              <w:rPr>
                <w:rFonts w:hint="eastAsia" w:ascii="宋体" w:hAnsi="宋体" w:cs="宋体"/>
                <w:color w:val="auto"/>
                <w:sz w:val="24"/>
                <w:szCs w:val="24"/>
                <w:highlight w:val="none"/>
                <w:u w:val="single"/>
                <w:lang w:val="en-US" w:eastAsia="zh-CN"/>
              </w:rPr>
              <w:t>180</w:t>
            </w:r>
            <w:r>
              <w:rPr>
                <w:rFonts w:hint="eastAsia" w:ascii="宋体" w:hAnsi="宋体" w:eastAsia="宋体" w:cs="宋体"/>
                <w:color w:val="auto"/>
                <w:sz w:val="24"/>
                <w:szCs w:val="24"/>
                <w:highlight w:val="none"/>
              </w:rPr>
              <w:t>个日历日。有效期不足将导致其投标文件被拒绝。</w:t>
            </w:r>
          </w:p>
        </w:tc>
      </w:tr>
      <w:tr w14:paraId="7F32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15E18B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5BEBBF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EC148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4972567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12.5未按要求缴交投标保证金的投标，将被视为无效投标。</w:t>
            </w:r>
          </w:p>
        </w:tc>
      </w:tr>
      <w:tr w14:paraId="0E297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135847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122AFE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842B6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14.3</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395E1D57">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14.3投标文件应在投标截止时间前上传成功，已上传但未提示上传成功的投标无效。</w:t>
            </w:r>
          </w:p>
        </w:tc>
      </w:tr>
      <w:tr w14:paraId="121C6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13BB88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6A9425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D6F780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15.3.2</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7FF7E60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15.3.2上传成功但解密失败或读取失败的“开标一览表”，其投标人的投标无效。</w:t>
            </w:r>
          </w:p>
        </w:tc>
      </w:tr>
      <w:tr w14:paraId="1EF82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26C0FA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5E8205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F1F0A9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15.3.3</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52F995AB">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15.3.3若由于投标人未按开标一览表模板制作导致招标代理机构公布其开标一览表时其表格内容无法显示的，视为读取失败，该投标人的投标无效。</w:t>
            </w:r>
          </w:p>
        </w:tc>
      </w:tr>
      <w:tr w14:paraId="10EAD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4F3BE8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47C9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F7B6B3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3E22ABA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64190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2F7151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537D65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C81187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7D8862A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7B223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792FF9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5ADEEC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BDF7D1D">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7384B69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7945668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2576080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74CC03B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7C7B18B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21265FA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47469B2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64FB947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7689D3D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660A1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77C1D8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3F43EA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0DA20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7579" w:type="dxa"/>
            <w:tcBorders>
              <w:top w:val="single" w:color="auto" w:sz="4" w:space="0"/>
              <w:left w:val="single" w:color="auto" w:sz="4" w:space="0"/>
              <w:bottom w:val="single" w:color="auto" w:sz="4" w:space="0"/>
              <w:right w:val="single" w:color="auto" w:sz="4" w:space="0"/>
            </w:tcBorders>
            <w:noWrap w:val="0"/>
            <w:vAlign w:val="top"/>
          </w:tcPr>
          <w:p w14:paraId="7BDFC02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6DC21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top w:val="single" w:color="auto" w:sz="4" w:space="0"/>
              <w:left w:val="single" w:color="auto" w:sz="4" w:space="0"/>
              <w:bottom w:val="single" w:color="auto" w:sz="4" w:space="0"/>
              <w:right w:val="single" w:color="auto" w:sz="4" w:space="0"/>
            </w:tcBorders>
            <w:noWrap w:val="0"/>
            <w:vAlign w:val="center"/>
          </w:tcPr>
          <w:p w14:paraId="2F83D8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2D08C5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80D33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7579" w:type="dxa"/>
            <w:tcBorders>
              <w:top w:val="single" w:color="auto" w:sz="4" w:space="0"/>
              <w:left w:val="single" w:color="auto" w:sz="4" w:space="0"/>
              <w:bottom w:val="single" w:color="auto" w:sz="4" w:space="0"/>
              <w:right w:val="single" w:color="auto" w:sz="4" w:space="0"/>
            </w:tcBorders>
            <w:noWrap w:val="0"/>
            <w:vAlign w:val="center"/>
          </w:tcPr>
          <w:p w14:paraId="68D4F6E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17.3.4投标人以他人名义投标或使用自己的数字证书上传其他投标人的投标文件，</w:t>
            </w:r>
            <w:r>
              <w:rPr>
                <w:rFonts w:hint="eastAsia" w:ascii="宋体" w:hAnsi="宋体" w:eastAsia="宋体" w:cs="宋体"/>
                <w:b/>
                <w:color w:val="auto"/>
                <w:kern w:val="0"/>
                <w:sz w:val="24"/>
                <w:szCs w:val="24"/>
                <w:highlight w:val="none"/>
              </w:rPr>
              <w:t>则</w:t>
            </w:r>
            <w:r>
              <w:rPr>
                <w:rFonts w:hint="eastAsia" w:ascii="宋体" w:hAnsi="宋体" w:eastAsia="宋体" w:cs="宋体"/>
                <w:b/>
                <w:color w:val="auto"/>
                <w:sz w:val="24"/>
                <w:szCs w:val="24"/>
                <w:highlight w:val="none"/>
              </w:rPr>
              <w:t>该投标人的投标将按照无效投标处理。</w:t>
            </w:r>
          </w:p>
        </w:tc>
      </w:tr>
      <w:tr w14:paraId="595EB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72" w:type="dxa"/>
            <w:tcBorders>
              <w:top w:val="single" w:color="auto" w:sz="4" w:space="0"/>
            </w:tcBorders>
            <w:noWrap w:val="0"/>
            <w:vAlign w:val="center"/>
          </w:tcPr>
          <w:p w14:paraId="2F3BDE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643" w:type="dxa"/>
            <w:tcBorders>
              <w:top w:val="single" w:color="auto" w:sz="4" w:space="0"/>
            </w:tcBorders>
            <w:noWrap w:val="0"/>
            <w:vAlign w:val="center"/>
          </w:tcPr>
          <w:p w14:paraId="7E87B1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tcBorders>
              <w:top w:val="single" w:color="auto" w:sz="4" w:space="0"/>
            </w:tcBorders>
            <w:noWrap w:val="0"/>
            <w:vAlign w:val="center"/>
          </w:tcPr>
          <w:p w14:paraId="4251A2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17.3.5</w:t>
            </w:r>
          </w:p>
        </w:tc>
        <w:tc>
          <w:tcPr>
            <w:tcW w:w="7579" w:type="dxa"/>
            <w:tcBorders>
              <w:top w:val="single" w:color="auto" w:sz="4" w:space="0"/>
            </w:tcBorders>
            <w:noWrap w:val="0"/>
            <w:vAlign w:val="center"/>
          </w:tcPr>
          <w:p w14:paraId="7580C03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17.3.5</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13A6403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4309D23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32E3190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5D65F85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3FBBF4B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6B258A0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tc>
      </w:tr>
      <w:tr w14:paraId="2475B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center"/>
          </w:tcPr>
          <w:p w14:paraId="5C221D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643" w:type="dxa"/>
            <w:noWrap w:val="0"/>
            <w:vAlign w:val="center"/>
          </w:tcPr>
          <w:p w14:paraId="7EA595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noWrap w:val="0"/>
            <w:vAlign w:val="center"/>
          </w:tcPr>
          <w:p w14:paraId="7BBB7B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17.3.6</w:t>
            </w:r>
          </w:p>
        </w:tc>
        <w:tc>
          <w:tcPr>
            <w:tcW w:w="7579" w:type="dxa"/>
            <w:noWrap w:val="0"/>
            <w:vAlign w:val="center"/>
          </w:tcPr>
          <w:p w14:paraId="64A01575">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17.3.6出现17.3.4、17.3.5情形之一的，作无效投标处理的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03F6E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center"/>
          </w:tcPr>
          <w:p w14:paraId="2439DDF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643" w:type="dxa"/>
            <w:noWrap w:val="0"/>
            <w:vAlign w:val="center"/>
          </w:tcPr>
          <w:p w14:paraId="7A58F7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994" w:type="dxa"/>
            <w:noWrap w:val="0"/>
            <w:vAlign w:val="center"/>
          </w:tcPr>
          <w:p w14:paraId="349AC9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7579" w:type="dxa"/>
            <w:noWrap w:val="0"/>
            <w:vAlign w:val="center"/>
          </w:tcPr>
          <w:p w14:paraId="0E08562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75357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center"/>
          </w:tcPr>
          <w:p w14:paraId="339EB059">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22</w:t>
            </w:r>
          </w:p>
        </w:tc>
        <w:tc>
          <w:tcPr>
            <w:tcW w:w="643" w:type="dxa"/>
            <w:noWrap w:val="0"/>
            <w:vAlign w:val="center"/>
          </w:tcPr>
          <w:p w14:paraId="71D34D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994" w:type="dxa"/>
            <w:noWrap w:val="0"/>
            <w:vAlign w:val="center"/>
          </w:tcPr>
          <w:p w14:paraId="0C13BE8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7579" w:type="dxa"/>
            <w:noWrap w:val="0"/>
            <w:vAlign w:val="center"/>
          </w:tcPr>
          <w:p w14:paraId="3BA1CEA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w:t>
            </w:r>
            <w:r>
              <w:rPr>
                <w:rFonts w:hint="eastAsia" w:ascii="宋体" w:hAnsi="宋体" w:cs="宋体"/>
                <w:bCs/>
                <w:color w:val="auto"/>
                <w:sz w:val="24"/>
                <w:szCs w:val="24"/>
                <w:highlight w:val="none"/>
              </w:rPr>
              <w:t>否则作无效投标处理。</w:t>
            </w:r>
            <w:r>
              <w:rPr>
                <w:rFonts w:hint="eastAsia" w:ascii="宋体" w:hAnsi="宋体" w:eastAsia="宋体" w:cs="宋体"/>
                <w:color w:val="auto"/>
                <w:sz w:val="24"/>
                <w:szCs w:val="24"/>
                <w:highlight w:val="none"/>
                <w:lang w:val="en-US" w:eastAsia="zh-CN"/>
              </w:rPr>
              <w:t>经评审，</w:t>
            </w:r>
            <w:r>
              <w:rPr>
                <w:rFonts w:hint="eastAsia" w:ascii="宋体" w:hAnsi="宋体" w:cs="宋体"/>
                <w:color w:val="auto"/>
                <w:sz w:val="24"/>
                <w:szCs w:val="24"/>
                <w:highlight w:val="none"/>
                <w:lang w:val="en-US" w:eastAsia="zh-CN"/>
              </w:rPr>
              <w:t>若</w:t>
            </w:r>
            <w:r>
              <w:rPr>
                <w:rFonts w:hint="eastAsia" w:ascii="宋体" w:hAnsi="宋体" w:eastAsia="宋体" w:cs="宋体"/>
                <w:color w:val="auto"/>
                <w:sz w:val="24"/>
                <w:szCs w:val="24"/>
                <w:highlight w:val="none"/>
                <w:lang w:val="en-US" w:eastAsia="zh-CN"/>
              </w:rPr>
              <w:t>所有采购标的均为中小企业（含个体工商户）制造的货物，或者监狱企业提供本单位制造的货物；或者残疾人福利性单位提供本单位制造的货物（或提供其他残疾人福利性单位制造的货物），</w:t>
            </w:r>
            <w:r>
              <w:rPr>
                <w:rFonts w:hint="eastAsia" w:ascii="宋体" w:hAnsi="宋体" w:eastAsia="宋体" w:cs="宋体"/>
                <w:color w:val="auto"/>
                <w:sz w:val="24"/>
                <w:szCs w:val="24"/>
                <w:highlight w:val="none"/>
                <w:lang w:val="en-US" w:eastAsia="zh-CN"/>
              </w:rPr>
              <w:t>如需支付履约保证金的，</w:t>
            </w:r>
            <w:r>
              <w:rPr>
                <w:rFonts w:hint="eastAsia" w:ascii="宋体" w:hAnsi="宋体" w:eastAsia="宋体" w:cs="宋体"/>
                <w:color w:val="auto"/>
                <w:spacing w:val="0"/>
                <w:sz w:val="24"/>
                <w:szCs w:val="24"/>
                <w:highlight w:val="none"/>
              </w:rPr>
              <w:t>按约定比例的50%支付</w:t>
            </w:r>
            <w:r>
              <w:rPr>
                <w:rFonts w:hint="eastAsia" w:ascii="宋体" w:hAnsi="宋体" w:eastAsia="宋体" w:cs="宋体"/>
                <w:color w:val="auto"/>
                <w:sz w:val="24"/>
                <w:szCs w:val="24"/>
                <w:highlight w:val="none"/>
                <w:lang w:val="en-US" w:eastAsia="zh-CN"/>
              </w:rPr>
              <w:t>。</w:t>
            </w:r>
          </w:p>
        </w:tc>
      </w:tr>
      <w:tr w14:paraId="2349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center"/>
          </w:tcPr>
          <w:p w14:paraId="5BC44480">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643" w:type="dxa"/>
            <w:noWrap w:val="0"/>
            <w:vAlign w:val="center"/>
          </w:tcPr>
          <w:p w14:paraId="6780F9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center"/>
          </w:tcPr>
          <w:p w14:paraId="5984667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center"/>
          </w:tcPr>
          <w:p w14:paraId="090DE3FE">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73C14347">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61A6F99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②在投标文件中提供各方盖章签署的共同投标协议扫描件。</w:t>
            </w:r>
          </w:p>
        </w:tc>
      </w:tr>
      <w:tr w14:paraId="5D09D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center"/>
          </w:tcPr>
          <w:p w14:paraId="36F96CE8">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643" w:type="dxa"/>
            <w:noWrap w:val="0"/>
            <w:vAlign w:val="center"/>
          </w:tcPr>
          <w:p w14:paraId="45F470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center"/>
          </w:tcPr>
          <w:p w14:paraId="0EAB34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center"/>
          </w:tcPr>
          <w:p w14:paraId="7B57078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lang w:eastAsia="zh-CN"/>
              </w:rPr>
              <w:t>采购单位</w:t>
            </w:r>
            <w:r>
              <w:rPr>
                <w:rFonts w:hint="eastAsia" w:ascii="宋体" w:hAnsi="宋体" w:cs="宋体"/>
                <w:bCs/>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20CA2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center"/>
          </w:tcPr>
          <w:p w14:paraId="0FB43936">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643" w:type="dxa"/>
            <w:noWrap w:val="0"/>
            <w:vAlign w:val="center"/>
          </w:tcPr>
          <w:p w14:paraId="1BD7D3DC">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994" w:type="dxa"/>
            <w:noWrap w:val="0"/>
            <w:vAlign w:val="center"/>
          </w:tcPr>
          <w:p w14:paraId="5E2AFDF9">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579" w:type="dxa"/>
            <w:noWrap w:val="0"/>
            <w:vAlign w:val="center"/>
          </w:tcPr>
          <w:p w14:paraId="10768C5F">
            <w:pPr>
              <w:pStyle w:val="3"/>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6C482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center"/>
          </w:tcPr>
          <w:p w14:paraId="724D303E">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643" w:type="dxa"/>
            <w:noWrap w:val="0"/>
            <w:vAlign w:val="center"/>
          </w:tcPr>
          <w:p w14:paraId="2C14F458">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94" w:type="dxa"/>
            <w:noWrap w:val="0"/>
            <w:vAlign w:val="center"/>
          </w:tcPr>
          <w:p w14:paraId="52C133B7">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579" w:type="dxa"/>
            <w:noWrap w:val="0"/>
            <w:vAlign w:val="center"/>
          </w:tcPr>
          <w:p w14:paraId="145B78FA">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30A58CD9">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6099537B">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4A63E7EB">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0D44E8E4">
            <w:pPr>
              <w:pStyle w:val="3"/>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6FD7D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center"/>
          </w:tcPr>
          <w:p w14:paraId="70C09AB5">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643" w:type="dxa"/>
            <w:noWrap w:val="0"/>
            <w:vAlign w:val="center"/>
          </w:tcPr>
          <w:p w14:paraId="15CBDB8A">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94" w:type="dxa"/>
            <w:noWrap w:val="0"/>
            <w:vAlign w:val="center"/>
          </w:tcPr>
          <w:p w14:paraId="42CA7F00">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579" w:type="dxa"/>
            <w:noWrap w:val="0"/>
            <w:vAlign w:val="center"/>
          </w:tcPr>
          <w:p w14:paraId="32F2D31C">
            <w:pPr>
              <w:pStyle w:val="3"/>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cs="宋体"/>
                <w:bCs/>
                <w:color w:val="auto"/>
                <w:sz w:val="24"/>
                <w:szCs w:val="24"/>
                <w:highlight w:val="none"/>
                <w:lang w:eastAsia="zh-CN"/>
              </w:rPr>
              <w:t>全免</w:t>
            </w:r>
            <w:r>
              <w:rPr>
                <w:rFonts w:hint="eastAsia" w:ascii="宋体" w:hAnsi="宋体" w:eastAsia="宋体" w:cs="宋体"/>
                <w:bCs/>
                <w:color w:val="auto"/>
                <w:sz w:val="24"/>
                <w:szCs w:val="24"/>
                <w:highlight w:val="none"/>
              </w:rPr>
              <w:t>交纳投标保证金的投标人未按照招标文件格式要求在投标文件中提供《中小企业声明函》的，其投标作无效投标处理。</w:t>
            </w:r>
          </w:p>
        </w:tc>
      </w:tr>
      <w:tr w14:paraId="0171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center"/>
          </w:tcPr>
          <w:p w14:paraId="533ED91D">
            <w:pPr>
              <w:pStyle w:val="3"/>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643" w:type="dxa"/>
            <w:tcBorders>
              <w:bottom w:val="single" w:color="auto" w:sz="4" w:space="0"/>
            </w:tcBorders>
            <w:noWrap w:val="0"/>
            <w:vAlign w:val="center"/>
          </w:tcPr>
          <w:p w14:paraId="1C0CF956">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94" w:type="dxa"/>
            <w:tcBorders>
              <w:bottom w:val="single" w:color="auto" w:sz="4" w:space="0"/>
            </w:tcBorders>
            <w:noWrap w:val="0"/>
            <w:vAlign w:val="center"/>
          </w:tcPr>
          <w:p w14:paraId="69FA726B">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579" w:type="dxa"/>
            <w:tcBorders>
              <w:bottom w:val="single" w:color="auto" w:sz="4" w:space="0"/>
            </w:tcBorders>
            <w:noWrap w:val="0"/>
            <w:vAlign w:val="center"/>
          </w:tcPr>
          <w:p w14:paraId="52027D53">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投标人应按照招标文件格式要求在投标文件中提供《廉洁承诺书》原件扫描件（投标人为联合体的，联合体各方均应提供《廉洁承诺书》原件扫描件），否则作无效投标处理。</w:t>
            </w:r>
          </w:p>
        </w:tc>
      </w:tr>
      <w:tr w14:paraId="72568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center"/>
          </w:tcPr>
          <w:p w14:paraId="590689B3">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643" w:type="dxa"/>
            <w:tcBorders>
              <w:bottom w:val="single" w:color="auto" w:sz="4" w:space="0"/>
            </w:tcBorders>
            <w:noWrap w:val="0"/>
            <w:vAlign w:val="center"/>
          </w:tcPr>
          <w:p w14:paraId="4F0F5B6B">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994" w:type="dxa"/>
            <w:tcBorders>
              <w:bottom w:val="single" w:color="auto" w:sz="4" w:space="0"/>
            </w:tcBorders>
            <w:noWrap w:val="0"/>
            <w:vAlign w:val="center"/>
          </w:tcPr>
          <w:p w14:paraId="35515FE7">
            <w:pPr>
              <w:pStyle w:val="3"/>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7579" w:type="dxa"/>
            <w:tcBorders>
              <w:bottom w:val="single" w:color="auto" w:sz="4" w:space="0"/>
            </w:tcBorders>
            <w:noWrap w:val="0"/>
            <w:vAlign w:val="center"/>
          </w:tcPr>
          <w:p w14:paraId="180A2B02">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1B9B3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center"/>
          </w:tcPr>
          <w:p w14:paraId="58E24FF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643" w:type="dxa"/>
            <w:tcBorders>
              <w:bottom w:val="single" w:color="auto" w:sz="4" w:space="0"/>
            </w:tcBorders>
            <w:noWrap w:val="0"/>
            <w:vAlign w:val="center"/>
          </w:tcPr>
          <w:p w14:paraId="375F59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tcBorders>
              <w:bottom w:val="single" w:color="auto" w:sz="4" w:space="0"/>
            </w:tcBorders>
            <w:noWrap w:val="0"/>
            <w:vAlign w:val="center"/>
          </w:tcPr>
          <w:p w14:paraId="51A488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tcBorders>
              <w:bottom w:val="single" w:color="auto" w:sz="4" w:space="0"/>
            </w:tcBorders>
            <w:noWrap w:val="0"/>
            <w:vAlign w:val="center"/>
          </w:tcPr>
          <w:p w14:paraId="4FBFDD36">
            <w:pPr>
              <w:pStyle w:val="16"/>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hAnsi="宋体" w:eastAsia="宋体" w:cs="宋体"/>
                <w:color w:val="auto"/>
                <w:highlight w:val="none"/>
                <w:lang w:val="en-US" w:eastAsia="zh-CN"/>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p w14:paraId="21B000E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5EB8A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center"/>
          </w:tcPr>
          <w:p w14:paraId="7DB9C3B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31</w:t>
            </w:r>
          </w:p>
        </w:tc>
        <w:tc>
          <w:tcPr>
            <w:tcW w:w="643" w:type="dxa"/>
            <w:tcBorders>
              <w:bottom w:val="single" w:color="auto" w:sz="4" w:space="0"/>
            </w:tcBorders>
            <w:noWrap w:val="0"/>
            <w:vAlign w:val="center"/>
          </w:tcPr>
          <w:p w14:paraId="4789C7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tcBorders>
              <w:bottom w:val="single" w:color="auto" w:sz="4" w:space="0"/>
            </w:tcBorders>
            <w:noWrap w:val="0"/>
            <w:vAlign w:val="center"/>
          </w:tcPr>
          <w:p w14:paraId="654491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tcBorders>
              <w:bottom w:val="single" w:color="auto" w:sz="4" w:space="0"/>
            </w:tcBorders>
            <w:noWrap w:val="0"/>
            <w:vAlign w:val="center"/>
          </w:tcPr>
          <w:p w14:paraId="6D1E3C0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二、主要技术参数及要求</w:t>
            </w:r>
          </w:p>
          <w:p w14:paraId="2D65136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1-1、*碎纸宽度≥220mm；碎纸效果≤2*6mm；碎纸能力≥6张（A4-70g）；碎纸箱容量≥16L；连续碎纸时间/工作时间≥10分钟；碎纸速度≥2m/min；具备过热保护、超载自动退纸功能</w:t>
            </w:r>
          </w:p>
        </w:tc>
      </w:tr>
      <w:tr w14:paraId="0C5FE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center"/>
          </w:tcPr>
          <w:p w14:paraId="60952DB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w:t>
            </w:r>
          </w:p>
        </w:tc>
        <w:tc>
          <w:tcPr>
            <w:tcW w:w="643" w:type="dxa"/>
            <w:tcBorders>
              <w:bottom w:val="single" w:color="auto" w:sz="4" w:space="0"/>
            </w:tcBorders>
            <w:noWrap w:val="0"/>
            <w:vAlign w:val="center"/>
          </w:tcPr>
          <w:p w14:paraId="043D9E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tcBorders>
              <w:bottom w:val="single" w:color="auto" w:sz="4" w:space="0"/>
            </w:tcBorders>
            <w:noWrap w:val="0"/>
            <w:vAlign w:val="center"/>
          </w:tcPr>
          <w:p w14:paraId="4DB113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tcBorders>
              <w:bottom w:val="single" w:color="auto" w:sz="4" w:space="0"/>
            </w:tcBorders>
            <w:noWrap w:val="0"/>
            <w:vAlign w:val="center"/>
          </w:tcPr>
          <w:p w14:paraId="549AD8B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*所投产品为所投品牌官网在售产品</w:t>
            </w:r>
          </w:p>
        </w:tc>
      </w:tr>
      <w:tr w14:paraId="70474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center"/>
          </w:tcPr>
          <w:p w14:paraId="71FFEC5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33</w:t>
            </w:r>
          </w:p>
        </w:tc>
        <w:tc>
          <w:tcPr>
            <w:tcW w:w="643" w:type="dxa"/>
            <w:tcBorders>
              <w:bottom w:val="single" w:color="auto" w:sz="4" w:space="0"/>
            </w:tcBorders>
            <w:noWrap w:val="0"/>
            <w:vAlign w:val="center"/>
          </w:tcPr>
          <w:p w14:paraId="3FB7DB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tcBorders>
              <w:bottom w:val="single" w:color="auto" w:sz="4" w:space="0"/>
            </w:tcBorders>
            <w:noWrap w:val="0"/>
            <w:vAlign w:val="center"/>
          </w:tcPr>
          <w:p w14:paraId="3207D44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tcBorders>
              <w:bottom w:val="single" w:color="auto" w:sz="4" w:space="0"/>
            </w:tcBorders>
            <w:noWrap w:val="0"/>
            <w:vAlign w:val="center"/>
          </w:tcPr>
          <w:p w14:paraId="2A8A04C3">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碎纸宽度≥220mm；碎纸效果≤2*12mm；碎纸能力≥8张（A4-70g）；碎纸箱容量≥20L；连续碎纸时间/工作时间≥20分钟；碎纸速度≥2m/min；符合国家保密标准BMB21-2019《涉及国家秘密的载体销毁与信息消除安全保密要求》中纸介质二级销毁技术要求，(需提供证书扫描件）；具备过热保护、超载自动退纸功能</w:t>
            </w:r>
          </w:p>
        </w:tc>
      </w:tr>
      <w:tr w14:paraId="4CD0C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center"/>
          </w:tcPr>
          <w:p w14:paraId="6855707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34</w:t>
            </w:r>
          </w:p>
        </w:tc>
        <w:tc>
          <w:tcPr>
            <w:tcW w:w="643" w:type="dxa"/>
            <w:tcBorders>
              <w:bottom w:val="single" w:color="auto" w:sz="4" w:space="0"/>
            </w:tcBorders>
            <w:noWrap w:val="0"/>
            <w:vAlign w:val="center"/>
          </w:tcPr>
          <w:p w14:paraId="6D5FAB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tcBorders>
              <w:bottom w:val="single" w:color="auto" w:sz="4" w:space="0"/>
            </w:tcBorders>
            <w:noWrap w:val="0"/>
            <w:vAlign w:val="center"/>
          </w:tcPr>
          <w:p w14:paraId="5A96FA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tcBorders>
              <w:bottom w:val="single" w:color="auto" w:sz="4" w:space="0"/>
            </w:tcBorders>
            <w:noWrap w:val="0"/>
            <w:vAlign w:val="center"/>
          </w:tcPr>
          <w:p w14:paraId="1018403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*所投产品为所投品牌官网在售产品</w:t>
            </w:r>
          </w:p>
        </w:tc>
      </w:tr>
      <w:tr w14:paraId="77E99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center"/>
          </w:tcPr>
          <w:p w14:paraId="1DA5AC3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35</w:t>
            </w:r>
          </w:p>
        </w:tc>
        <w:tc>
          <w:tcPr>
            <w:tcW w:w="643" w:type="dxa"/>
            <w:tcBorders>
              <w:bottom w:val="single" w:color="auto" w:sz="4" w:space="0"/>
            </w:tcBorders>
            <w:noWrap w:val="0"/>
            <w:vAlign w:val="center"/>
          </w:tcPr>
          <w:p w14:paraId="44B187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tcBorders>
              <w:bottom w:val="single" w:color="auto" w:sz="4" w:space="0"/>
            </w:tcBorders>
            <w:noWrap w:val="0"/>
            <w:vAlign w:val="center"/>
          </w:tcPr>
          <w:p w14:paraId="7AC739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tcBorders>
              <w:bottom w:val="single" w:color="auto" w:sz="4" w:space="0"/>
            </w:tcBorders>
            <w:noWrap w:val="0"/>
            <w:vAlign w:val="center"/>
          </w:tcPr>
          <w:p w14:paraId="765A7C1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1-3、*碎纸宽度≥220mm；碎纸效果≤4*40mm；碎纸能力≥15张（A4-70g）；碎纸箱容量≥23L；连续碎纸时间/工作时间≥60分钟；碎纸速度≥2m/min；可碎光盘、银行卡、书钉；具备过热保护、超载自动退纸功能</w:t>
            </w:r>
          </w:p>
        </w:tc>
      </w:tr>
      <w:tr w14:paraId="66F1B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04AA63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643" w:type="dxa"/>
            <w:noWrap w:val="0"/>
            <w:vAlign w:val="top"/>
          </w:tcPr>
          <w:p w14:paraId="6E9F3B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39ACC77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2F68152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*所投产品为所投品牌官网在售产品</w:t>
            </w:r>
          </w:p>
        </w:tc>
      </w:tr>
      <w:tr w14:paraId="1A7FA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722FEE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643" w:type="dxa"/>
            <w:noWrap w:val="0"/>
            <w:vAlign w:val="top"/>
          </w:tcPr>
          <w:p w14:paraId="1D3637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07B3CD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56DD986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1-4、*碎纸宽度≥220mm；碎纸效果≤2*12mm；单次碎纸能力≥8张（A4-70g）；碎纸箱容量≥20L；连续碎纸时间/工作时间≥20分钟；碎纸速度≥2m/min；可碎光盘、银行卡、书钉；具备过热保护、超载自动退纸功能</w:t>
            </w:r>
          </w:p>
        </w:tc>
      </w:tr>
      <w:tr w14:paraId="6B0AB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3AC1C69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38</w:t>
            </w:r>
          </w:p>
        </w:tc>
        <w:tc>
          <w:tcPr>
            <w:tcW w:w="643" w:type="dxa"/>
            <w:noWrap w:val="0"/>
            <w:vAlign w:val="top"/>
          </w:tcPr>
          <w:p w14:paraId="572183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0D4E20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5683B61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*所投产品为所投品牌官网在售产品</w:t>
            </w:r>
          </w:p>
        </w:tc>
      </w:tr>
      <w:tr w14:paraId="1F784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20CF11BC">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39</w:t>
            </w:r>
          </w:p>
        </w:tc>
        <w:tc>
          <w:tcPr>
            <w:tcW w:w="643" w:type="dxa"/>
            <w:noWrap w:val="0"/>
            <w:vAlign w:val="top"/>
          </w:tcPr>
          <w:p w14:paraId="483D16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757E2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4548889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备注：*1、投标人投标的碎纸机产品必须为同一品牌产品，否则将导致投标无效。</w:t>
            </w:r>
          </w:p>
        </w:tc>
      </w:tr>
      <w:tr w14:paraId="2BA13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B519364">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40</w:t>
            </w:r>
          </w:p>
        </w:tc>
        <w:tc>
          <w:tcPr>
            <w:tcW w:w="643" w:type="dxa"/>
            <w:noWrap w:val="0"/>
            <w:vAlign w:val="top"/>
          </w:tcPr>
          <w:p w14:paraId="5DFD5A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00F6A6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37D909E">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投标人投标的产品必须在京东、苏宁易购、国美在线、天猫等四家电商网上购物平台中（品牌官方旗舰店内自营商品）的至少任意一个平台常规在售的同一品牌及同一规格型号产品。投标人应在投标文件提供相关证明材料并加盖投标人公章，诸如电商网上购物平台网页截图等。</w:t>
            </w:r>
          </w:p>
        </w:tc>
      </w:tr>
      <w:tr w14:paraId="2447C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5B033EA1">
            <w:pPr>
              <w:keepNext w:val="0"/>
              <w:keepLines w:val="0"/>
              <w:suppressLineNumbers w:val="0"/>
              <w:spacing w:before="0" w:beforeAutospacing="0" w:after="0" w:afterAutospacing="0" w:line="360" w:lineRule="auto"/>
              <w:ind w:left="0" w:right="0"/>
              <w:jc w:val="cente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41</w:t>
            </w:r>
          </w:p>
        </w:tc>
        <w:tc>
          <w:tcPr>
            <w:tcW w:w="643" w:type="dxa"/>
            <w:noWrap w:val="0"/>
            <w:vAlign w:val="top"/>
          </w:tcPr>
          <w:p w14:paraId="1F6FB1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4C7B98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6535026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针对“招标货物及参数设置”中带星号（“*”）的技术条款，投标人必须在投标文件中提供产品彩页或说明书或产品详细参数说明或国家权威检测机构出具的检测报告扫描件予以证明（加盖投标人公章，以上证明文件若出现参数不一致情况下，投标人须自行承担不利评审后果）。</w:t>
            </w:r>
          </w:p>
        </w:tc>
      </w:tr>
      <w:tr w14:paraId="7E214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7CC6428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42</w:t>
            </w:r>
          </w:p>
        </w:tc>
        <w:tc>
          <w:tcPr>
            <w:tcW w:w="643" w:type="dxa"/>
            <w:noWrap w:val="0"/>
            <w:vAlign w:val="top"/>
          </w:tcPr>
          <w:p w14:paraId="5831659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84E1A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27795DF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投标人须在投标文件中作出明确承诺：采购单位可调整各规格产品的实际供货数量；采购单位有权向厦门市政府机关事业单位和福建省内其他终端用户进行供货（以上统称最终用户）进行供货。投标人须提供相应的安装及售后服务保障，所需费用(包括福建省内各地市市区内安装及售后服务费用)均包含在投标总价中。各地市市区外的安装及售后服务费用采购单位给予补贴，具体市区分布见表一，投标人承诺并提供书面承诺函（格式自拟），合同期内采购单位可增加或者减少各型号的采购数量，仍按不高于中标价格执行。</w:t>
            </w:r>
          </w:p>
          <w:p w14:paraId="28CF74C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表一：各地市区分布：详见正文。</w:t>
            </w:r>
          </w:p>
        </w:tc>
      </w:tr>
      <w:tr w14:paraId="1B258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0569D35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43</w:t>
            </w:r>
          </w:p>
        </w:tc>
        <w:tc>
          <w:tcPr>
            <w:tcW w:w="643" w:type="dxa"/>
            <w:noWrap w:val="0"/>
            <w:vAlign w:val="top"/>
          </w:tcPr>
          <w:p w14:paraId="5922D9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337555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2E2AD46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*6、投标人须在投标文件中作出明确承诺：承诺1-1至1-4所有产品不得内置任何具备扫描、读取、传输、发送等一切可导致信息泄露的模块或芯片。</w:t>
            </w:r>
          </w:p>
        </w:tc>
      </w:tr>
      <w:tr w14:paraId="492C6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6EA7F58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44</w:t>
            </w:r>
          </w:p>
        </w:tc>
        <w:tc>
          <w:tcPr>
            <w:tcW w:w="643" w:type="dxa"/>
            <w:noWrap w:val="0"/>
            <w:vAlign w:val="top"/>
          </w:tcPr>
          <w:p w14:paraId="1FA088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3B6E74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55607F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四、售后服务要求</w:t>
            </w:r>
          </w:p>
          <w:p w14:paraId="3F8F72FB">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*1、合同设备的保修期自最终验收合格之日起计算，应当提供至少免费一年上门保修，同时保证保修年限不低于合同货物中品牌型号的官网标准。</w:t>
            </w:r>
          </w:p>
        </w:tc>
      </w:tr>
      <w:tr w14:paraId="6091D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32D9DEF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45</w:t>
            </w:r>
          </w:p>
        </w:tc>
        <w:tc>
          <w:tcPr>
            <w:tcW w:w="643" w:type="dxa"/>
            <w:noWrap w:val="0"/>
            <w:vAlign w:val="top"/>
          </w:tcPr>
          <w:p w14:paraId="35684A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18A757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04F3E7C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*2、投标人应在投标文件中提供具体的售后服务承诺条款。</w:t>
            </w:r>
          </w:p>
        </w:tc>
      </w:tr>
      <w:tr w14:paraId="5CFFA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3E32F79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46</w:t>
            </w:r>
          </w:p>
        </w:tc>
        <w:tc>
          <w:tcPr>
            <w:tcW w:w="643" w:type="dxa"/>
            <w:noWrap w:val="0"/>
            <w:vAlign w:val="top"/>
          </w:tcPr>
          <w:p w14:paraId="4670FF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6D7F55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6308A81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投标人承诺并提供书面承诺函（格式自拟），同意若中标，卖方承诺在履行合同期间，如果出现以下任一情况，买方有权单方解除合同，卖方应支付相当于履约保证金金额的违约金。同时，对卖方下述情况在厦门市政府采购网、厦门招投标网进行公示，并在三年内拒绝中标人进入大宗政府招标采购项目的投标报价：</w:t>
            </w:r>
          </w:p>
          <w:p w14:paraId="6FD943C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①违反法律法规、行业规范要求被有关部门查处的；</w:t>
            </w:r>
          </w:p>
          <w:p w14:paraId="32AE1653">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②提供假冒伪劣产品的；</w:t>
            </w:r>
          </w:p>
          <w:p w14:paraId="21C25E8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③通过给回扣或变相给回扣的方式招揽业务的；</w:t>
            </w:r>
          </w:p>
          <w:p w14:paraId="6B900D62">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④因产品质量或服务问题被有效投诉达三次以上的；</w:t>
            </w:r>
          </w:p>
          <w:p w14:paraId="2650798F">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⑤向有关部门、采购单位、最终使用方提供虚假信息或资料等情况的；</w:t>
            </w:r>
          </w:p>
          <w:p w14:paraId="1E8622E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⑥出现重大客户投诉事件（如政府采购管理部门督办事件、新闻媒体公开报道、采购业主书面发函投诉以及其他对买方产生严重负面影响的事件）；</w:t>
            </w:r>
          </w:p>
          <w:p w14:paraId="21E8F54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⑦报修率超过3%。报修率=保修期内硬件故障报修有效台次/已销售台数*100%（已销售台数超过100台之后开始计算报修率）。</w:t>
            </w:r>
          </w:p>
          <w:p w14:paraId="4D088B5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⑧逾期供货时间超过30天（包括产品送到买方仓库或最终用户指定地点的逾期和完成产品安装调试的逾期）。</w:t>
            </w:r>
          </w:p>
          <w:p w14:paraId="0E42CF8F">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⑨产品入库检测、检验时发现大面积（同批次全部产品或不同批次同型号产品3%及以上）产品质量问题。</w:t>
            </w:r>
          </w:p>
        </w:tc>
      </w:tr>
      <w:tr w14:paraId="2855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766B8D1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47</w:t>
            </w:r>
          </w:p>
        </w:tc>
        <w:tc>
          <w:tcPr>
            <w:tcW w:w="643" w:type="dxa"/>
            <w:noWrap w:val="0"/>
            <w:vAlign w:val="top"/>
          </w:tcPr>
          <w:p w14:paraId="0FA8EA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0B24F0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452651B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*5、投标人负责货物（设备）的安装，在接到买方或最终用户的安装要求后4个小时内安排安装服务人员到达指定地点进行安装调试，安装调试完成后三日内将最终用户确认的最终验收合格交付单及时反馈给买方。</w:t>
            </w:r>
          </w:p>
        </w:tc>
      </w:tr>
      <w:tr w14:paraId="74651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0FFE02C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48</w:t>
            </w:r>
          </w:p>
        </w:tc>
        <w:tc>
          <w:tcPr>
            <w:tcW w:w="643" w:type="dxa"/>
            <w:noWrap w:val="0"/>
            <w:vAlign w:val="top"/>
          </w:tcPr>
          <w:p w14:paraId="5CA1A4E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4EA9A0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728B768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投标人应按《部分商品修理更换退货责任规定》规定执行售后服务，产品出现性能故障的，应严格按照《部分商品修理更换退货责任规定》处理。上述规定要求与本文件其他条款有不一致的，按对最终用户较有利的条款执行。</w:t>
            </w:r>
          </w:p>
        </w:tc>
      </w:tr>
      <w:tr w14:paraId="6FADC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332745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49</w:t>
            </w:r>
          </w:p>
        </w:tc>
        <w:tc>
          <w:tcPr>
            <w:tcW w:w="643" w:type="dxa"/>
            <w:noWrap w:val="0"/>
            <w:vAlign w:val="top"/>
          </w:tcPr>
          <w:p w14:paraId="4DD0D1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4B18E9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E542A03">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*7、投标人应自合同设备经最终验收合格之日起对合同设备在保修期内提供免费维护的服务，保修期外提供有偿的维护服务。</w:t>
            </w:r>
          </w:p>
        </w:tc>
      </w:tr>
      <w:tr w14:paraId="6C2AE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6EB7787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50</w:t>
            </w:r>
          </w:p>
        </w:tc>
        <w:tc>
          <w:tcPr>
            <w:tcW w:w="643" w:type="dxa"/>
            <w:noWrap w:val="0"/>
            <w:vAlign w:val="top"/>
          </w:tcPr>
          <w:p w14:paraId="4A9650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1D604C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699EEA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*8、超出保修期的维修，投标人应向最终用户说明产品已过保，告知最终用户备件费、上门费及服务费，并向最终用户说明备件保修时间及保修方式，征得最终用户同意后再维修,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维修中收取的备件费、上门费及服务费等其它费用不得高于合同产品品牌官方标准（包含品牌官网标准、官方热线标准等），维修收费应根据买方或最终用户的要求提供发票。</w:t>
            </w:r>
          </w:p>
        </w:tc>
      </w:tr>
      <w:tr w14:paraId="033D4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18608E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51</w:t>
            </w:r>
          </w:p>
        </w:tc>
        <w:tc>
          <w:tcPr>
            <w:tcW w:w="643" w:type="dxa"/>
            <w:noWrap w:val="0"/>
            <w:vAlign w:val="top"/>
          </w:tcPr>
          <w:p w14:paraId="3F1890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7E796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083CF14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9、合同设备通过最终验收并交付后15天内出现故障，投标人应免费为最终用户更换同型号新整机；保修期内，发生产品性能故障维修2次及以上仍不能正常使用的，投标人应负责为最终用户免费更换同型号的新机。若合同设备的型号机器停产，投标人应与最终用户协商，更换其他型号的新机，更换的新机型性能不得低于故障机。换机后的新机，保修期限从换机之日起开始重新计算。因产品故障造成退、换机情况的，由投标人直接与最终用户办理退换机流程，并在5个工作日内送达最终用户处更换，不再经过买方仓库，投标人应将退换机涉及的相关单据、凭证等材料在退还后【5】日内交付给买方。</w:t>
            </w:r>
          </w:p>
        </w:tc>
      </w:tr>
      <w:tr w14:paraId="70D8E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2AEAF7F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52</w:t>
            </w:r>
          </w:p>
        </w:tc>
        <w:tc>
          <w:tcPr>
            <w:tcW w:w="643" w:type="dxa"/>
            <w:noWrap w:val="0"/>
            <w:vAlign w:val="top"/>
          </w:tcPr>
          <w:p w14:paraId="11326C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5ED325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68974F1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*10、投标人应为合同设备提供免费的上门安装调试服务，安装后产品故障保修由厦门当地维修站提供。</w:t>
            </w:r>
          </w:p>
        </w:tc>
      </w:tr>
      <w:tr w14:paraId="50530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29D274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53</w:t>
            </w:r>
          </w:p>
        </w:tc>
        <w:tc>
          <w:tcPr>
            <w:tcW w:w="643" w:type="dxa"/>
            <w:noWrap w:val="0"/>
            <w:vAlign w:val="top"/>
          </w:tcPr>
          <w:p w14:paraId="71B8F9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51761F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43A6A90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*11、在设备的质保期内买方在合同设备的使用过程中，如发现并经双方确认证实产品存在质量隐患或者有严重的质量问题，买方有权要求投标人退换受影响的产品，由此产生的运输费等直接费用由投标人承担。</w:t>
            </w:r>
          </w:p>
        </w:tc>
      </w:tr>
      <w:tr w14:paraId="7E878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5E0A1EA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54</w:t>
            </w:r>
          </w:p>
        </w:tc>
        <w:tc>
          <w:tcPr>
            <w:tcW w:w="643" w:type="dxa"/>
            <w:noWrap w:val="0"/>
            <w:vAlign w:val="top"/>
          </w:tcPr>
          <w:p w14:paraId="10D713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0A2705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394071E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*12、投标人应按最终用户的要求，每季度、每半年或每年一次，对合同设备进行保养服务，并将上门服务结果及时反馈给买方。</w:t>
            </w:r>
          </w:p>
        </w:tc>
      </w:tr>
      <w:tr w14:paraId="507DC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0D3C6A1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55</w:t>
            </w:r>
          </w:p>
        </w:tc>
        <w:tc>
          <w:tcPr>
            <w:tcW w:w="643" w:type="dxa"/>
            <w:noWrap w:val="0"/>
            <w:vAlign w:val="top"/>
          </w:tcPr>
          <w:p w14:paraId="21A85E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3E4ADF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0305922F">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投标人在上门服务时，如果最终用户其它品牌设备出现故障需要投标人的工程师帮助解决，投标人的工程师不得拒绝最终用户的要求，在条件许可的前提下为最终用户服务；如果无法修复，应协助最终用户报修相应的技术售后服务网点或给出可行的解决方案供最终用户参考。</w:t>
            </w:r>
          </w:p>
        </w:tc>
      </w:tr>
      <w:tr w14:paraId="35D0D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664F072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56</w:t>
            </w:r>
          </w:p>
        </w:tc>
        <w:tc>
          <w:tcPr>
            <w:tcW w:w="643" w:type="dxa"/>
            <w:noWrap w:val="0"/>
            <w:vAlign w:val="top"/>
          </w:tcPr>
          <w:p w14:paraId="5D6341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3E121E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2B304D7C">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*14、投标人在厦门地区拥有充足的备品备件，可以保证合同设备在正常损坏情况下，及时给最终用户提供保修或更换；超出保修期的合同设备，投标人应保证在二年内能及时提供产品维修所需的备件。</w:t>
            </w:r>
          </w:p>
        </w:tc>
      </w:tr>
      <w:tr w14:paraId="723CD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17049F1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57</w:t>
            </w:r>
          </w:p>
        </w:tc>
        <w:tc>
          <w:tcPr>
            <w:tcW w:w="643" w:type="dxa"/>
            <w:noWrap w:val="0"/>
            <w:vAlign w:val="top"/>
          </w:tcPr>
          <w:p w14:paraId="604AE0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5DB323A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7202C390">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*15、投标人应为合同设备建立完整的客户档案，保修期内，当合同设备发生维修，而最终用户无法提供发票或保修卡时，投标人应根据自身留存的档案，为最终用户提供应有的保修服务。</w:t>
            </w:r>
          </w:p>
        </w:tc>
      </w:tr>
      <w:tr w14:paraId="582EC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7A3132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58</w:t>
            </w:r>
          </w:p>
        </w:tc>
        <w:tc>
          <w:tcPr>
            <w:tcW w:w="643" w:type="dxa"/>
            <w:noWrap w:val="0"/>
            <w:vAlign w:val="top"/>
          </w:tcPr>
          <w:p w14:paraId="2D289D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3984B3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0476ABFE">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16、投标人应对合同设备进行100%的电话回访，每月初向买方提供上月的回访汇总报表及服务明细；当投标人在接到最终用户投诉时，要在分钟之内应响，个工作小时内开始处理，个工作日之内处理完；处理完最终用户的投诉，应及时将处理结果反馈给买方。</w:t>
            </w:r>
          </w:p>
        </w:tc>
      </w:tr>
      <w:tr w14:paraId="5B5E8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201BED2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59</w:t>
            </w:r>
          </w:p>
        </w:tc>
        <w:tc>
          <w:tcPr>
            <w:tcW w:w="643" w:type="dxa"/>
            <w:noWrap w:val="0"/>
            <w:vAlign w:val="top"/>
          </w:tcPr>
          <w:p w14:paraId="0B348E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47AE09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7665A1EE">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*17、投标人应根据最终用户的需求开办合同设备的免费培训课程。</w:t>
            </w:r>
          </w:p>
        </w:tc>
      </w:tr>
      <w:tr w14:paraId="18AF4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5FB7572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60</w:t>
            </w:r>
          </w:p>
        </w:tc>
        <w:tc>
          <w:tcPr>
            <w:tcW w:w="643" w:type="dxa"/>
            <w:noWrap w:val="0"/>
            <w:vAlign w:val="top"/>
          </w:tcPr>
          <w:p w14:paraId="1F27B8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2BE55B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356991C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*18、投标人不得以任何方式对买方隐瞒和欺骗服务情况，买方需要投标人提供的报表不得有虚假，上门服务工程师不得以任何方式引导最终用户对买方回访的回答。</w:t>
            </w:r>
          </w:p>
        </w:tc>
      </w:tr>
      <w:tr w14:paraId="13426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1A34125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61</w:t>
            </w:r>
          </w:p>
        </w:tc>
        <w:tc>
          <w:tcPr>
            <w:tcW w:w="643" w:type="dxa"/>
            <w:noWrap w:val="0"/>
            <w:vAlign w:val="top"/>
          </w:tcPr>
          <w:p w14:paraId="7A6669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679805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CE5E3B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*附件2：服务考核细则：</w:t>
            </w:r>
          </w:p>
          <w:p w14:paraId="7838624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买方将定期对最终用户进行回访，跟踪了解产品的使用情况及卖方的售后服务质量，依照以上的服务承诺，制定以下考核细则。</w:t>
            </w:r>
          </w:p>
          <w:p w14:paraId="1AF4334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1、合同期内每月考核一次；</w:t>
            </w:r>
          </w:p>
          <w:p w14:paraId="1CAA422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p>
          <w:p w14:paraId="73584AE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3、买方有权从应付但未付给卖方的任一笔款项中，扣除考核结果中列明的违约金。</w:t>
            </w:r>
          </w:p>
          <w:p w14:paraId="3DE83D5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4、具体违约金标准如下：</w:t>
            </w:r>
          </w:p>
          <w:p w14:paraId="22995DA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表格详见正文。</w:t>
            </w:r>
          </w:p>
        </w:tc>
      </w:tr>
      <w:tr w14:paraId="0E84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1BF7A0A2">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62</w:t>
            </w:r>
          </w:p>
        </w:tc>
        <w:tc>
          <w:tcPr>
            <w:tcW w:w="643" w:type="dxa"/>
            <w:noWrap w:val="0"/>
            <w:vAlign w:val="top"/>
          </w:tcPr>
          <w:p w14:paraId="54605F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2F4C03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0C9AD3A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五、报价要求</w:t>
            </w:r>
          </w:p>
          <w:p w14:paraId="02AE42C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投标人须以人民币报价，投标总价为投标设备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投标总价中），报价方式为总包价。</w:t>
            </w:r>
          </w:p>
        </w:tc>
      </w:tr>
      <w:tr w14:paraId="687A5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39B04E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63</w:t>
            </w:r>
          </w:p>
        </w:tc>
        <w:tc>
          <w:tcPr>
            <w:tcW w:w="643" w:type="dxa"/>
            <w:noWrap w:val="0"/>
            <w:vAlign w:val="top"/>
          </w:tcPr>
          <w:p w14:paraId="09B1FF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1A3338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EB2737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*2、投标人必须列出招标货物一览表中各品目号设备的单价及总价。</w:t>
            </w:r>
          </w:p>
        </w:tc>
      </w:tr>
      <w:tr w14:paraId="51F88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0F2DAC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64</w:t>
            </w:r>
          </w:p>
        </w:tc>
        <w:tc>
          <w:tcPr>
            <w:tcW w:w="643" w:type="dxa"/>
            <w:noWrap w:val="0"/>
            <w:vAlign w:val="top"/>
          </w:tcPr>
          <w:p w14:paraId="6562CA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BC90B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50E7825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*3、本项目采购预算为人民币218万元整，投标总价不得超过该预算，品目号1-1单台设备投标不得超过 450元/台；且品目号1-2单台设备投标不得超过800元/台；且品目号1-3单台设备投标不得超过600元/台；且品目号1-4单台设备投标不得超过550元/台。</w:t>
            </w:r>
          </w:p>
        </w:tc>
      </w:tr>
      <w:tr w14:paraId="409D2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2AAAAA2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65</w:t>
            </w:r>
          </w:p>
        </w:tc>
        <w:tc>
          <w:tcPr>
            <w:tcW w:w="643" w:type="dxa"/>
            <w:noWrap w:val="0"/>
            <w:vAlign w:val="top"/>
          </w:tcPr>
          <w:p w14:paraId="5EC9A5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0AE46F8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59FB8744">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除《定货单》另有要求外，中标供应商在接到采购单位《定货单》之日起7个日历日之内货交采购单位仓库；结合最终用户的服务需求，为保障客户服务质量和服务响应，需经采购单位按采购单位的物流配送服务标准对中标供应商服务能力进行评估确认同意后，中标供应商才可根据采购单位指令后厦门市岛内24小时、岛外48小时；福建省内其他地区48小时之内从采购单位仓库运送至最终用户，中标供应商从采购单位仓库中提货后，货物毁损、灭失的风险转移至中标供应商。直送最终用户的，除非《定货单》另有要求，否则中标供应商应在接到《定货单》在之日起2 个工作日之内，将货物送至最终用户。</w:t>
            </w:r>
          </w:p>
        </w:tc>
      </w:tr>
      <w:tr w14:paraId="3AC36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235E121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66</w:t>
            </w:r>
          </w:p>
        </w:tc>
        <w:tc>
          <w:tcPr>
            <w:tcW w:w="643" w:type="dxa"/>
            <w:noWrap w:val="0"/>
            <w:vAlign w:val="top"/>
          </w:tcPr>
          <w:p w14:paraId="32583D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074F1C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26BDBF9D">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若中标供应商未按*4约定的时间完成二次配送的，则采购单位将直接委托第三方物流代为配送，配送费用由中标供应商直接向第三方物流支付。第三方物流配送费用标准为：二次配送费用为17元/台，仓储操作费为8元/台。卖方中标供应商应于货物入库后30个日历日内根据订货批次向第三方物流支付二次配送费用，若中标供应商未在规定时间内向第三方物流支付配送费用的，采购单位将代为支付，再由中标供应商返还给采购单位，同时中标供应商向采购单位每日偿付该笔款项0.5%的逾期违约金。如因最终客户集中收货，涉及搬运，需由中标供应商根据客户需求进行处理并承担相应费用。</w:t>
            </w:r>
          </w:p>
        </w:tc>
      </w:tr>
      <w:tr w14:paraId="661D2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5380BEE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67</w:t>
            </w:r>
          </w:p>
        </w:tc>
        <w:tc>
          <w:tcPr>
            <w:tcW w:w="643" w:type="dxa"/>
            <w:noWrap w:val="0"/>
            <w:vAlign w:val="top"/>
          </w:tcPr>
          <w:p w14:paraId="413FFC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1EF987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3319D6B3">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*6、合同签订之日每三个月，采购单位可根据市场行情变化，与中标供应商就产品单价进行重新谈判，重新谈判的价格不高于中标价。</w:t>
            </w:r>
          </w:p>
        </w:tc>
      </w:tr>
      <w:tr w14:paraId="3D326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1C0485A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68</w:t>
            </w:r>
          </w:p>
        </w:tc>
        <w:tc>
          <w:tcPr>
            <w:tcW w:w="643" w:type="dxa"/>
            <w:noWrap w:val="0"/>
            <w:vAlign w:val="top"/>
          </w:tcPr>
          <w:p w14:paraId="0791F0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44022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7782DB6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投标人承诺并提供书面承诺函（格式自拟），同意在供货期间，遇合同型号价格下调，中标供应商应在2个工作日内将新的价格以书面形式告知采购单位，经采购单位确认后按最新价格进行供货并结算。一旦采购单位发现合同单价高于其它同类销售渠道或主流网站自营店（京东、苏宁、国美、天猫等）等的常规销售价格，采购单位有权要求中标供应商调低合同货物的价格，如中标供应商拒绝调整或双方就价格调整无法协商一致的，中标供应商应按逾期天数，每日承担相当于履约保证金金额0.5%的违约金，同时采购单位有权终止本合同，不视为采购单位违约。</w:t>
            </w:r>
          </w:p>
        </w:tc>
      </w:tr>
      <w:tr w14:paraId="566A9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BDF1DF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69</w:t>
            </w:r>
          </w:p>
        </w:tc>
        <w:tc>
          <w:tcPr>
            <w:tcW w:w="643" w:type="dxa"/>
            <w:noWrap w:val="0"/>
            <w:vAlign w:val="top"/>
          </w:tcPr>
          <w:p w14:paraId="11F7A2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616DC4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4F0C3EB2">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六、其他要求及说明</w:t>
            </w:r>
          </w:p>
          <w:p w14:paraId="2C85D8FF">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*1、投标人须在投标文件中明确作出如下承诺：</w:t>
            </w:r>
          </w:p>
          <w:p w14:paraId="02299D53">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投标人承诺并提供书面承诺函（格式自拟），接受《采购合同》中《服务考核细则》对其的考核并同意按考核情况处理。</w:t>
            </w:r>
          </w:p>
        </w:tc>
      </w:tr>
      <w:tr w14:paraId="65D15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50A5DAB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70</w:t>
            </w:r>
          </w:p>
        </w:tc>
        <w:tc>
          <w:tcPr>
            <w:tcW w:w="643" w:type="dxa"/>
            <w:noWrap w:val="0"/>
            <w:vAlign w:val="top"/>
          </w:tcPr>
          <w:p w14:paraId="12CBC5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5387C6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E442C5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*2、采购单位付款时，中标供应商应提供一般纳税人的增值税专用发票（包括采购单位需支付中标供应商的所有费用，例如安装费用等）；否则，采购单位有权拒绝支付相应款项。</w:t>
            </w:r>
          </w:p>
        </w:tc>
      </w:tr>
      <w:tr w14:paraId="1D512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2DC655C3">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71</w:t>
            </w:r>
          </w:p>
        </w:tc>
        <w:tc>
          <w:tcPr>
            <w:tcW w:w="643" w:type="dxa"/>
            <w:noWrap w:val="0"/>
            <w:vAlign w:val="top"/>
          </w:tcPr>
          <w:p w14:paraId="0C33AF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D3FD7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430029C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*3、投标人承诺并提供书面承诺函（格式自拟），如获中标将配合采购单位及产品检验检测机构进行投标产品的检验检测，产品检验检测产生的一切相关费用由中标供应商承担。</w:t>
            </w:r>
          </w:p>
        </w:tc>
      </w:tr>
      <w:tr w14:paraId="2EBE5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738EC06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72</w:t>
            </w:r>
          </w:p>
        </w:tc>
        <w:tc>
          <w:tcPr>
            <w:tcW w:w="643" w:type="dxa"/>
            <w:noWrap w:val="0"/>
            <w:vAlign w:val="top"/>
          </w:tcPr>
          <w:p w14:paraId="021B86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6327BF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61FDFA3B">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投标人承诺并提供书面承诺函（格式自拟），同意免费提供招标文件中的品目号1-1、1-2、1-3、1-4各5台共20台设备给予采购单位作为备用机，且于中标后第一次供货时一并提供，质保期满后，备用机不再收回。备用机需在一个月内到货，未到货采购单位有权直接扣除投标人相应金额的保证金。</w:t>
            </w:r>
          </w:p>
        </w:tc>
      </w:tr>
      <w:tr w14:paraId="124F8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778B0FE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73</w:t>
            </w:r>
          </w:p>
        </w:tc>
        <w:tc>
          <w:tcPr>
            <w:tcW w:w="643" w:type="dxa"/>
            <w:noWrap w:val="0"/>
            <w:vAlign w:val="top"/>
          </w:tcPr>
          <w:p w14:paraId="41565F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E7A33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2EA0B7A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投标人承诺并提供书面承诺函（格式自拟），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投标报价有效期为半年。</w:t>
            </w:r>
          </w:p>
        </w:tc>
      </w:tr>
      <w:tr w14:paraId="507A2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3937952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74</w:t>
            </w:r>
          </w:p>
        </w:tc>
        <w:tc>
          <w:tcPr>
            <w:tcW w:w="643" w:type="dxa"/>
            <w:noWrap w:val="0"/>
            <w:vAlign w:val="top"/>
          </w:tcPr>
          <w:p w14:paraId="0220F5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9D15C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0ABDEB23">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投标人承诺并提供书面承诺函（格式自拟），若中标将无条件参与采购单位举办的福建省内各地的政府大宗产品推介会，并且免费提供相应的中标机型作为样机展示，否则视为违约，投标人应按中标机型的中标单价向采购单位支付违约金，若投标人未向采购单位支付，则采购单位有权直接从履约保证金款项中直接给予扣除。</w:t>
            </w:r>
          </w:p>
        </w:tc>
      </w:tr>
      <w:tr w14:paraId="5BA0A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60F9901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75</w:t>
            </w:r>
          </w:p>
        </w:tc>
        <w:tc>
          <w:tcPr>
            <w:tcW w:w="643" w:type="dxa"/>
            <w:noWrap w:val="0"/>
            <w:vAlign w:val="top"/>
          </w:tcPr>
          <w:p w14:paraId="012C64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A58A1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AA6AC4D">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投标人承诺并提供书面承诺函（格式自拟），若中标，若在合同期内中标供应商有任何产品型号或配件升级变更，应至少提前一个月书面通知采购单位相关信息（包括其升级产品型号、部件及详细配置方案），经采购单位书面同意后方可按升级后的产品（或配件）供货，价格按合同单价执行，交货时间按采购合同条款执行。同时，在采购单位同意之前，中标供应商仍应按原承诺《定货单》的要求供货。否则，按逾期交货处理。经最终用户认可后，中标供应商可按升级后的产品（或配件）供货。若在合同期内中标供应商有任何产品型号或配件停产且无法提供符合采购单位要求的升级型号或配件则视为严重违约，中标供应商应按每款机型10000元向采购单位缴纳违约金，采购单位有权单方面解除中标合同，没收履约保证金并且有权与中标供应商之后第一位的中标候选供应商签订合同。</w:t>
            </w:r>
          </w:p>
        </w:tc>
      </w:tr>
      <w:tr w14:paraId="50920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7B2971CA">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76</w:t>
            </w:r>
          </w:p>
        </w:tc>
        <w:tc>
          <w:tcPr>
            <w:tcW w:w="643" w:type="dxa"/>
            <w:noWrap w:val="0"/>
            <w:vAlign w:val="top"/>
          </w:tcPr>
          <w:p w14:paraId="423A91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25FC26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6FC3D82D">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*8、投标人承诺并提供书面承诺函（格式自拟），若中标，其与采购单位之间发生的一切费用均以人民币进行结算及支付；采购单位可以通过银行转账的形式进行支付。</w:t>
            </w:r>
          </w:p>
        </w:tc>
      </w:tr>
      <w:tr w14:paraId="5A6A6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21D3BCBC">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77</w:t>
            </w:r>
          </w:p>
        </w:tc>
        <w:tc>
          <w:tcPr>
            <w:tcW w:w="643" w:type="dxa"/>
            <w:noWrap w:val="0"/>
            <w:vAlign w:val="top"/>
          </w:tcPr>
          <w:p w14:paraId="64D07D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2782D0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0EE34CAB">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*9、投标有效期不少于180天。</w:t>
            </w:r>
          </w:p>
        </w:tc>
      </w:tr>
      <w:tr w14:paraId="76D61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3802DAA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78</w:t>
            </w:r>
          </w:p>
        </w:tc>
        <w:tc>
          <w:tcPr>
            <w:tcW w:w="643" w:type="dxa"/>
            <w:noWrap w:val="0"/>
            <w:vAlign w:val="top"/>
          </w:tcPr>
          <w:p w14:paraId="3AEF93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5154B6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505AA29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10、投标人承诺并提供书面承诺函（格式自拟），如果中标，验收时（包括初验和最终验收），投标人必须派代表参加并确认验收结果，否则视为投标人对验收意见无异议。如该批次产品在最终验收时，出现开箱破损或者故障，无法进行最终验收的，无条件给予更换新机并保证最终验收的顺畅进行。若投标人不同意更换新机或者配合，采购单位有权直接于投标人的履约保证金中扣除该批次产品及安装的等额费用。该条款可能造成的成本费用包含在投标人的产品报价中。</w:t>
            </w:r>
          </w:p>
        </w:tc>
      </w:tr>
      <w:tr w14:paraId="7364F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08D0D17F">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79</w:t>
            </w:r>
          </w:p>
        </w:tc>
        <w:tc>
          <w:tcPr>
            <w:tcW w:w="643" w:type="dxa"/>
            <w:noWrap w:val="0"/>
            <w:vAlign w:val="top"/>
          </w:tcPr>
          <w:p w14:paraId="0BABC0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09E3EF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E22C93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投标人承诺并提供书面承诺函（格式自拟），如果中标，因投标人产品给采购单位造成的客诉，若投标人在接到采购单位通知后3个日历日内无法解决客诉，采购单位有权自行解决客诉，并直接于投标人的履约保证金中扣除解决客诉所产生的费用。该条款可能造成的成本费用包含在投标人的产品报价中。</w:t>
            </w:r>
          </w:p>
        </w:tc>
      </w:tr>
      <w:tr w14:paraId="793FA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772A3B40">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80</w:t>
            </w:r>
          </w:p>
        </w:tc>
        <w:tc>
          <w:tcPr>
            <w:tcW w:w="643" w:type="dxa"/>
            <w:noWrap w:val="0"/>
            <w:vAlign w:val="top"/>
          </w:tcPr>
          <w:p w14:paraId="084DD5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5B6AF5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573C9AD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中标供应商应在合同签订之日起7个日历日内向采购单位提供人民币中标总金额5%的履约保证金。其中3%作为供货履约保证金，于本合同有效期满后最后一批次货物供货后20个工作日内一次性无息付清（扣除相应的违约金、赔偿金）。2%作为售后履约保证金待本合同有效期内最后一批次货物保修期届满后20个工作日内一次性无息付清（扣除相应的违约金、赔偿金）。</w:t>
            </w:r>
          </w:p>
          <w:p w14:paraId="590A732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中标供应商因违约行为导致履约保证金被采购单位扣除的，中标供应商应于被扣除之日起7个日历日内补足，使履约保证金金额满足约定的履约保证金的要求。</w:t>
            </w:r>
          </w:p>
        </w:tc>
      </w:tr>
      <w:tr w14:paraId="08D3E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3D5BE9A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81</w:t>
            </w:r>
          </w:p>
        </w:tc>
        <w:tc>
          <w:tcPr>
            <w:tcW w:w="643" w:type="dxa"/>
            <w:noWrap w:val="0"/>
            <w:vAlign w:val="top"/>
          </w:tcPr>
          <w:p w14:paraId="200896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059FB8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37E1038D">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13、本项目中标服务费按每批次《定货单》金额的收费标准收取，中标供应商最迟在采购单位发出《定货单》之日起10个工作日内向招标代理机构缴交中标服务费。中标服务费的收取按差额定率累进法计算,由中标供应商支付，中标服务费按每个《定货单》金额分别收取，《定货单》金额不予累加。</w:t>
            </w:r>
          </w:p>
        </w:tc>
      </w:tr>
      <w:tr w14:paraId="53C0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630274C6">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82</w:t>
            </w:r>
          </w:p>
        </w:tc>
        <w:tc>
          <w:tcPr>
            <w:tcW w:w="643" w:type="dxa"/>
            <w:noWrap w:val="0"/>
            <w:vAlign w:val="top"/>
          </w:tcPr>
          <w:p w14:paraId="21A95A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4D0D35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6B317343">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14、付款方式与条件：买方按批次支付货款。货交买方仓库的，经买方初验合格后30个日历日内（投标人可根据商务评分响应情况延长付款时间），买方凭下列单证和文件以转账或电汇方式向卖方一次性支付至该批次货款。</w:t>
            </w:r>
          </w:p>
          <w:p w14:paraId="0145ADAA">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a金额为100%的该批次货款的一般纳税人增值税专用发票；</w:t>
            </w:r>
          </w:p>
          <w:p w14:paraId="2406F7F1">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b卖方已缴纳该批货物的中标服务费的证明材料；</w:t>
            </w:r>
          </w:p>
          <w:p w14:paraId="5915F46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c买方收讫该批次货物的《货物收货单》</w:t>
            </w:r>
          </w:p>
        </w:tc>
      </w:tr>
      <w:tr w14:paraId="3A8D9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2AB2C494">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83</w:t>
            </w:r>
          </w:p>
        </w:tc>
        <w:tc>
          <w:tcPr>
            <w:tcW w:w="643" w:type="dxa"/>
            <w:noWrap w:val="0"/>
            <w:vAlign w:val="top"/>
          </w:tcPr>
          <w:p w14:paraId="49C9E8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2E0786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077C8A46">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15、投标人保证买方或最终用户在使用该品牌产品时不受到第三方关于侵犯知识产权的指控和索赔。如果任何第三方提出侵权指控或索赔，买方或最终用户有权将该等指控或索赔转告投标人。买方或最终用户对于该等索赔不承担责任，投标人应妥善处理该等纠纷，并承担处理该等侵权索赔的抗辩费用、经投标人谈判的和解费用及法院判决的赔偿等相关。</w:t>
            </w:r>
          </w:p>
          <w:p w14:paraId="0C0F1C25">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同时，买方有权自费参与针对该等侵权索赔的应诉抗辩或和解，买方因此支出的费用和损失均由投标人承担，且买方有权在本合同的投标人保证金和买方应付货款中扣除前述费用。</w:t>
            </w:r>
          </w:p>
        </w:tc>
      </w:tr>
      <w:tr w14:paraId="10774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319D2DA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84</w:t>
            </w:r>
          </w:p>
        </w:tc>
        <w:tc>
          <w:tcPr>
            <w:tcW w:w="643" w:type="dxa"/>
            <w:noWrap w:val="0"/>
            <w:vAlign w:val="top"/>
          </w:tcPr>
          <w:p w14:paraId="3466E1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9281C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5C29E37B">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16、投标人若未能按时将保质足量产品送到买方仓库或最终用户指定地点的、或未能按时完成安装调试的，投标人应向买方每日支付当批货款0.5%的逾期违约金。单批次（单个《定货单》）供货中逾期超过5个日历日交货或者安装不及时率（即：（逾期超过5日的货物数量+逾期安装的货物数量）/该批次货物总数量）超过7%的，买方有权单方面解除合同并没收履约保证金，投标人除应退还买方已支付的该批次货款外，还应另行支付履约保证金总金额的违约金，且买方有权在三年内拒绝投标人参与大宗政府招标采购项目的投标报价。</w:t>
            </w:r>
          </w:p>
        </w:tc>
      </w:tr>
      <w:tr w14:paraId="7AEBB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587D2B7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85</w:t>
            </w:r>
          </w:p>
        </w:tc>
        <w:tc>
          <w:tcPr>
            <w:tcW w:w="643" w:type="dxa"/>
            <w:noWrap w:val="0"/>
            <w:vAlign w:val="top"/>
          </w:tcPr>
          <w:p w14:paraId="7B120D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2BD61D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403C8758">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17、任一批次的产品若验收不合格（包括初验和最终验收），买方有权换货或单方解除合同。若买方选择换货的，投标人重新供货导致的供货延迟，按16条违约责任处理；若买方选择单方解除合同的，买方有权没收履约保证金，投标人除应退还买方已支付该批次货款外，还应另行支付相当于履约保证金总金额的违约金，且买方有权在三年内拒绝投标人参与大宗政府招标采购项目的投标报价。</w:t>
            </w:r>
          </w:p>
        </w:tc>
      </w:tr>
      <w:tr w14:paraId="733F0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6CD38C2B">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86</w:t>
            </w:r>
          </w:p>
        </w:tc>
        <w:tc>
          <w:tcPr>
            <w:tcW w:w="643" w:type="dxa"/>
            <w:noWrap w:val="0"/>
            <w:vAlign w:val="top"/>
          </w:tcPr>
          <w:p w14:paraId="575E23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146748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09E7C43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18、投标人保证所供成交产品质量与投标时的承诺一致，若有拆装、以次充好、偷换等行为,一经发现，买方将拒绝投标人作为厦门市政府采购供应商，拒绝其三年内参加相同项目的投标报价并有权单方解除合同并没收履约保证金，投标人除应退还买方已支付该批次货款外，还应另行支付履约保证金总金额的违约金。</w:t>
            </w:r>
          </w:p>
        </w:tc>
      </w:tr>
      <w:tr w14:paraId="354A6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216DB607">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87</w:t>
            </w:r>
          </w:p>
        </w:tc>
        <w:tc>
          <w:tcPr>
            <w:tcW w:w="643" w:type="dxa"/>
            <w:noWrap w:val="0"/>
            <w:vAlign w:val="top"/>
          </w:tcPr>
          <w:p w14:paraId="123DA0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42694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2BF4AAC9">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19、买方根据本合同约定提出换货、退货或解除合同的，投标人应在收到买方或最终用户通知后3个工作日内自行收回不符合合同约定的货物，并承担相应费用。因投标人原因导致退换货的，投标人应承担退换货所需的一切费用。如投标人未在规定时间内收回不合格货物，买方不对上述货物的灭失或损坏承担任何责任。如投标人逾期超过10个日历日仍未收回的，买方有权自行处理上述货物，同时投标人应履约保证金总金额的违约金，且买方有权在三年内拒绝投标人参与大宗政府招标采购项目的投标报价。</w:t>
            </w:r>
          </w:p>
        </w:tc>
      </w:tr>
      <w:tr w14:paraId="2F223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3C76168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88</w:t>
            </w:r>
          </w:p>
        </w:tc>
        <w:tc>
          <w:tcPr>
            <w:tcW w:w="643" w:type="dxa"/>
            <w:noWrap w:val="0"/>
            <w:vAlign w:val="top"/>
          </w:tcPr>
          <w:p w14:paraId="21295D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4F85F6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2B14C54E">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20、买方应按商定的付款周期及时支付投标人货款。若故意拖延支付货款，买方向投标人每日支付延迟付款部分0.1%的违约金，支付金额最高不超过受影响货物总额的5%。若协商不成，可根据规定向厦门市财政局政府采购监管处投诉并要求解决。</w:t>
            </w:r>
          </w:p>
        </w:tc>
      </w:tr>
      <w:tr w14:paraId="527DF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8FF9C6D">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89</w:t>
            </w:r>
          </w:p>
        </w:tc>
        <w:tc>
          <w:tcPr>
            <w:tcW w:w="643" w:type="dxa"/>
            <w:noWrap w:val="0"/>
            <w:vAlign w:val="top"/>
          </w:tcPr>
          <w:p w14:paraId="20C37C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6CB87B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4F1BBA67">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*21、除本合同另有约定，在买方发出的违约通知后30天内投标人仍未纠正其任何一种违约行为的，买方有权单方解除合同并没收投标人全部履约保证金。</w:t>
            </w:r>
          </w:p>
        </w:tc>
      </w:tr>
      <w:tr w14:paraId="5C7BA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626238A8">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90</w:t>
            </w:r>
          </w:p>
        </w:tc>
        <w:tc>
          <w:tcPr>
            <w:tcW w:w="643" w:type="dxa"/>
            <w:noWrap w:val="0"/>
            <w:vAlign w:val="top"/>
          </w:tcPr>
          <w:p w14:paraId="0A289D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27E4CD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2A25119E">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22、买方有权扣划投标人缴交的履约保证金作为违约金，履约保证金不足以抵扣违约金的，买方有权从应付货款中扣除相应费用。买方应在扣划履约保证金前书面通知投标人违约事由，如投标人在书面通知所列明的合理期限（不超过10天）内未予纠正，则履约保证金扣划才可实施（因投标人违约买方单方解除合同而没收履约保证金的不受此限制）。</w:t>
            </w:r>
          </w:p>
        </w:tc>
      </w:tr>
      <w:tr w14:paraId="6A920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noWrap w:val="0"/>
            <w:vAlign w:val="top"/>
          </w:tcPr>
          <w:p w14:paraId="4CD419AE">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91</w:t>
            </w:r>
          </w:p>
        </w:tc>
        <w:tc>
          <w:tcPr>
            <w:tcW w:w="643" w:type="dxa"/>
            <w:noWrap w:val="0"/>
            <w:vAlign w:val="top"/>
          </w:tcPr>
          <w:p w14:paraId="5508A8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noWrap w:val="0"/>
            <w:vAlign w:val="top"/>
          </w:tcPr>
          <w:p w14:paraId="73A2B2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noWrap w:val="0"/>
            <w:vAlign w:val="top"/>
          </w:tcPr>
          <w:p w14:paraId="11AD840E">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、采购单位有权根据招标文件中的所有星号条款和投标人承诺签订补充协议。</w:t>
            </w:r>
          </w:p>
        </w:tc>
      </w:tr>
      <w:tr w14:paraId="5942E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2" w:type="dxa"/>
            <w:tcBorders>
              <w:bottom w:val="single" w:color="auto" w:sz="4" w:space="0"/>
            </w:tcBorders>
            <w:noWrap w:val="0"/>
            <w:vAlign w:val="top"/>
          </w:tcPr>
          <w:p w14:paraId="0FB2CE2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92</w:t>
            </w:r>
          </w:p>
        </w:tc>
        <w:tc>
          <w:tcPr>
            <w:tcW w:w="643" w:type="dxa"/>
            <w:tcBorders>
              <w:bottom w:val="single" w:color="auto" w:sz="4" w:space="0"/>
            </w:tcBorders>
            <w:noWrap w:val="0"/>
            <w:vAlign w:val="top"/>
          </w:tcPr>
          <w:p w14:paraId="5BB91E2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94" w:type="dxa"/>
            <w:tcBorders>
              <w:bottom w:val="single" w:color="auto" w:sz="4" w:space="0"/>
            </w:tcBorders>
            <w:noWrap w:val="0"/>
            <w:vAlign w:val="top"/>
          </w:tcPr>
          <w:p w14:paraId="1158D2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579" w:type="dxa"/>
            <w:tcBorders>
              <w:bottom w:val="single" w:color="auto" w:sz="4" w:space="0"/>
            </w:tcBorders>
            <w:noWrap w:val="0"/>
            <w:vAlign w:val="top"/>
          </w:tcPr>
          <w:p w14:paraId="7679C69E">
            <w:pPr>
              <w:keepNext w:val="0"/>
              <w:keepLines w:val="0"/>
              <w:suppressLineNumbers w:val="0"/>
              <w:spacing w:before="0" w:beforeAutospacing="0" w:after="0" w:afterAutospacing="0" w:line="360" w:lineRule="auto"/>
              <w:ind w:left="0" w:right="0"/>
              <w:rPr>
                <w:rFonts w:hint="default"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25、若有两家或以上的多家公司共同为本合同的投标人，买方有权向投标人中的任何一家或同时向多家就合同的履行提出索赔或要求其履行义务、责任、债务等，所有投标人共同承担合同的义务，且所有投标人就合同的履行承担连带责任。</w:t>
            </w:r>
          </w:p>
        </w:tc>
      </w:tr>
    </w:tbl>
    <w:p w14:paraId="5CCDC334">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40E6DD2B">
      <w:pPr>
        <w:spacing w:line="360" w:lineRule="auto"/>
        <w:rPr>
          <w:rFonts w:hint="eastAsia" w:ascii="宋体" w:hAnsi="宋体" w:eastAsia="宋体" w:cs="宋体"/>
          <w:bCs/>
          <w:color w:val="auto"/>
          <w:sz w:val="24"/>
          <w:szCs w:val="24"/>
          <w:highlight w:val="none"/>
        </w:rPr>
      </w:pPr>
    </w:p>
    <w:p w14:paraId="533C8AEC">
      <w:pPr>
        <w:spacing w:line="360" w:lineRule="auto"/>
        <w:ind w:firstLine="640" w:firstLineChars="200"/>
        <w:jc w:val="both"/>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2"/>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8"/>
      </w:tblGrid>
      <w:tr w14:paraId="334A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498" w:type="dxa"/>
            <w:tcBorders>
              <w:top w:val="single" w:color="auto" w:sz="4" w:space="0"/>
              <w:left w:val="single" w:color="auto" w:sz="4" w:space="0"/>
              <w:bottom w:val="single" w:color="auto" w:sz="4" w:space="0"/>
              <w:right w:val="single" w:color="auto" w:sz="4" w:space="0"/>
            </w:tcBorders>
            <w:noWrap w:val="0"/>
            <w:vAlign w:val="top"/>
          </w:tcPr>
          <w:p w14:paraId="42682C73">
            <w:pPr>
              <w:pStyle w:val="3"/>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3567F1FE">
            <w:pPr>
              <w:pStyle w:val="3"/>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77C30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98" w:type="dxa"/>
            <w:tcBorders>
              <w:top w:val="single" w:color="auto" w:sz="4" w:space="0"/>
              <w:left w:val="single" w:color="auto" w:sz="4" w:space="0"/>
              <w:bottom w:val="single" w:color="auto" w:sz="4" w:space="0"/>
              <w:right w:val="single" w:color="auto" w:sz="4" w:space="0"/>
            </w:tcBorders>
            <w:noWrap w:val="0"/>
            <w:vAlign w:val="top"/>
          </w:tcPr>
          <w:p w14:paraId="10F35A67">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3CA45FBC">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09752F0D">
            <w:pPr>
              <w:pStyle w:val="3"/>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2E8B1A7E">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007B5284">
            <w:pPr>
              <w:pStyle w:val="3"/>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个。</w:t>
            </w:r>
          </w:p>
          <w:p w14:paraId="3EB08538">
            <w:pPr>
              <w:pStyle w:val="3"/>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7AEE4293">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4D78EDAC">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05ECBFDB">
            <w:pPr>
              <w:pStyle w:val="3"/>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35C55F16">
            <w:pPr>
              <w:pStyle w:val="3"/>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1FF8BC73">
            <w:pPr>
              <w:pStyle w:val="7"/>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028A468A">
            <w:pPr>
              <w:pStyle w:val="7"/>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6E2EC64C">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7BBB1134">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5B1006CC">
            <w:pPr>
              <w:pStyle w:val="3"/>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58D4C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98" w:type="dxa"/>
            <w:tcBorders>
              <w:top w:val="single" w:color="auto" w:sz="4" w:space="0"/>
              <w:left w:val="single" w:color="auto" w:sz="4" w:space="0"/>
              <w:bottom w:val="single" w:color="auto" w:sz="4" w:space="0"/>
              <w:right w:val="single" w:color="auto" w:sz="4" w:space="0"/>
            </w:tcBorders>
            <w:noWrap w:val="0"/>
            <w:vAlign w:val="top"/>
          </w:tcPr>
          <w:p w14:paraId="39306678">
            <w:pPr>
              <w:pStyle w:val="3"/>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rPr>
              <w:t>个）：</w:t>
            </w:r>
          </w:p>
          <w:p w14:paraId="3FFC556A">
            <w:pPr>
              <w:pStyle w:val="3"/>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78C1D47C">
            <w:pPr>
              <w:pStyle w:val="3"/>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522D6414">
            <w:pPr>
              <w:pStyle w:val="3"/>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5FBFE8ED">
      <w:pPr>
        <w:pStyle w:val="3"/>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20F09253">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6A3165CB">
      <w:pPr>
        <w:tabs>
          <w:tab w:val="left" w:pos="-1080"/>
          <w:tab w:val="left" w:pos="180"/>
          <w:tab w:val="left" w:pos="1080"/>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附件：评标标准、权重</w:t>
      </w:r>
    </w:p>
    <w:p w14:paraId="67F46E54">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u w:val="single"/>
          <w:lang w:val="en-US" w:eastAsia="zh-CN"/>
        </w:rPr>
        <w:t>55</w:t>
      </w:r>
      <w:r>
        <w:rPr>
          <w:rFonts w:hint="eastAsia" w:ascii="宋体" w:hAnsi="宋体" w:eastAsia="宋体" w:cs="宋体"/>
          <w:color w:val="auto"/>
          <w:sz w:val="24"/>
          <w:szCs w:val="24"/>
          <w:highlight w:val="none"/>
        </w:rPr>
        <w:t>分评分法，技术评分考虑下列因素：</w:t>
      </w:r>
    </w:p>
    <w:tbl>
      <w:tblPr>
        <w:tblStyle w:val="12"/>
        <w:tblW w:w="9624" w:type="dxa"/>
        <w:jc w:val="center"/>
        <w:tblLayout w:type="fixed"/>
        <w:tblCellMar>
          <w:top w:w="0" w:type="dxa"/>
          <w:left w:w="108" w:type="dxa"/>
          <w:bottom w:w="0" w:type="dxa"/>
          <w:right w:w="108" w:type="dxa"/>
        </w:tblCellMar>
      </w:tblPr>
      <w:tblGrid>
        <w:gridCol w:w="749"/>
        <w:gridCol w:w="1012"/>
        <w:gridCol w:w="6983"/>
        <w:gridCol w:w="880"/>
      </w:tblGrid>
      <w:tr w14:paraId="1FA6C13D">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2630E2E7">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012" w:type="dxa"/>
            <w:tcBorders>
              <w:top w:val="single" w:color="auto" w:sz="4" w:space="0"/>
              <w:left w:val="single" w:color="auto" w:sz="4" w:space="0"/>
              <w:bottom w:val="single" w:color="auto" w:sz="4" w:space="0"/>
              <w:right w:val="single" w:color="auto" w:sz="4" w:space="0"/>
            </w:tcBorders>
            <w:noWrap w:val="0"/>
            <w:vAlign w:val="center"/>
          </w:tcPr>
          <w:p w14:paraId="310EBFDE">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碎纸</w:t>
            </w:r>
          </w:p>
          <w:p w14:paraId="7286B14F">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效果</w:t>
            </w:r>
          </w:p>
        </w:tc>
        <w:tc>
          <w:tcPr>
            <w:tcW w:w="6983" w:type="dxa"/>
            <w:tcBorders>
              <w:top w:val="single" w:color="auto" w:sz="4" w:space="0"/>
              <w:left w:val="single" w:color="auto" w:sz="4" w:space="0"/>
              <w:bottom w:val="single" w:color="auto" w:sz="4" w:space="0"/>
              <w:right w:val="single" w:color="auto" w:sz="4" w:space="0"/>
            </w:tcBorders>
            <w:noWrap w:val="0"/>
            <w:vAlign w:val="center"/>
          </w:tcPr>
          <w:p w14:paraId="35E75C94">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80" w:type="dxa"/>
            <w:tcBorders>
              <w:top w:val="single" w:color="auto" w:sz="4" w:space="0"/>
              <w:left w:val="single" w:color="auto" w:sz="4" w:space="0"/>
              <w:bottom w:val="single" w:color="auto" w:sz="4" w:space="0"/>
              <w:right w:val="single" w:color="auto" w:sz="4" w:space="0"/>
            </w:tcBorders>
            <w:noWrap w:val="0"/>
            <w:vAlign w:val="center"/>
          </w:tcPr>
          <w:p w14:paraId="3EB26163">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43A50E88">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61F9EFC0">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3348D83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1012" w:type="dxa"/>
            <w:vMerge w:val="restart"/>
            <w:tcBorders>
              <w:top w:val="single" w:color="auto" w:sz="4" w:space="0"/>
              <w:left w:val="single" w:color="auto" w:sz="4" w:space="0"/>
              <w:right w:val="single" w:color="auto" w:sz="4" w:space="0"/>
            </w:tcBorders>
            <w:noWrap w:val="0"/>
            <w:vAlign w:val="center"/>
          </w:tcPr>
          <w:p w14:paraId="50593489">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p w14:paraId="4DBE72C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粒状</w:t>
            </w:r>
          </w:p>
        </w:tc>
        <w:tc>
          <w:tcPr>
            <w:tcW w:w="6983" w:type="dxa"/>
            <w:tcBorders>
              <w:top w:val="single" w:color="auto" w:sz="4" w:space="0"/>
              <w:left w:val="single" w:color="auto" w:sz="4" w:space="0"/>
              <w:bottom w:val="single" w:color="auto" w:sz="4" w:space="0"/>
              <w:right w:val="single" w:color="auto" w:sz="4" w:space="0"/>
            </w:tcBorders>
            <w:noWrap w:val="0"/>
            <w:vAlign w:val="top"/>
          </w:tcPr>
          <w:p w14:paraId="691557B4">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根据投标设备中品目号1-1的</w:t>
            </w:r>
            <w:r>
              <w:rPr>
                <w:rFonts w:hint="eastAsia" w:cs="宋体" w:asciiTheme="minorEastAsia" w:hAnsiTheme="minorEastAsia" w:eastAsiaTheme="minorEastAsia"/>
                <w:b/>
                <w:bCs/>
                <w:color w:val="auto"/>
                <w:kern w:val="0"/>
                <w:sz w:val="24"/>
                <w:szCs w:val="24"/>
                <w:highlight w:val="none"/>
              </w:rPr>
              <w:t>碎纸宽度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碎纸宽度≥225mm得3分，碎纸宽度≥221mm得1分，其余得0分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宽度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3723B2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38D1FCB2">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22165CF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1012" w:type="dxa"/>
            <w:vMerge w:val="continue"/>
            <w:tcBorders>
              <w:left w:val="single" w:color="auto" w:sz="4" w:space="0"/>
              <w:right w:val="single" w:color="auto" w:sz="4" w:space="0"/>
            </w:tcBorders>
            <w:noWrap w:val="0"/>
            <w:vAlign w:val="center"/>
          </w:tcPr>
          <w:p w14:paraId="27A66BF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2162B81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根据投标设备中品目号1-1</w:t>
            </w:r>
            <w:r>
              <w:rPr>
                <w:rFonts w:hint="eastAsia" w:cs="宋体" w:asciiTheme="minorEastAsia" w:hAnsiTheme="minorEastAsia" w:eastAsiaTheme="minorEastAsia"/>
                <w:b/>
                <w:bCs/>
                <w:color w:val="auto"/>
                <w:kern w:val="0"/>
                <w:sz w:val="24"/>
                <w:szCs w:val="24"/>
                <w:highlight w:val="none"/>
              </w:rPr>
              <w:t>是否有弹簧减震系统</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拥有弹簧减震系统的得3分，否则得0分。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B559B2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127C29AC">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6925364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1012" w:type="dxa"/>
            <w:vMerge w:val="continue"/>
            <w:tcBorders>
              <w:left w:val="single" w:color="auto" w:sz="4" w:space="0"/>
              <w:right w:val="single" w:color="auto" w:sz="4" w:space="0"/>
            </w:tcBorders>
            <w:noWrap w:val="0"/>
            <w:vAlign w:val="center"/>
          </w:tcPr>
          <w:p w14:paraId="7E4D63B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59730D33">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根据投标设备中品目号1-1的</w:t>
            </w:r>
            <w:r>
              <w:rPr>
                <w:rFonts w:hint="eastAsia" w:cs="宋体" w:asciiTheme="minorEastAsia" w:hAnsiTheme="minorEastAsia" w:eastAsiaTheme="minorEastAsia"/>
                <w:b/>
                <w:bCs/>
                <w:color w:val="auto"/>
                <w:kern w:val="0"/>
                <w:sz w:val="24"/>
                <w:szCs w:val="24"/>
                <w:highlight w:val="none"/>
              </w:rPr>
              <w:t>碎纸速度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碎纸速度≥3m/min得3分，工作时间≥2.1m/min得1分，其余得0分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速度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5B75336">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048B8DA3">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2DCB04E9">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1012" w:type="dxa"/>
            <w:vMerge w:val="continue"/>
            <w:tcBorders>
              <w:left w:val="single" w:color="auto" w:sz="4" w:space="0"/>
              <w:bottom w:val="single" w:color="auto" w:sz="4" w:space="0"/>
              <w:right w:val="single" w:color="auto" w:sz="4" w:space="0"/>
            </w:tcBorders>
            <w:noWrap w:val="0"/>
            <w:vAlign w:val="center"/>
          </w:tcPr>
          <w:p w14:paraId="524538E6">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10420A7A">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根据投标设备中品目号1-1的</w:t>
            </w:r>
            <w:r>
              <w:rPr>
                <w:rFonts w:hint="eastAsia" w:cs="宋体" w:asciiTheme="minorEastAsia" w:hAnsiTheme="minorEastAsia" w:eastAsiaTheme="minorEastAsia"/>
                <w:b/>
                <w:bCs/>
                <w:color w:val="auto"/>
                <w:kern w:val="0"/>
                <w:sz w:val="24"/>
                <w:szCs w:val="24"/>
                <w:highlight w:val="none"/>
              </w:rPr>
              <w:t>噪音分呗</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噪音分呗≤55dB得3分，噪音分呗≤58dB得2分，其余得0分。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噪音分呗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9DED442">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6CFB1B48">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44E58A1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1012" w:type="dxa"/>
            <w:vMerge w:val="restart"/>
            <w:tcBorders>
              <w:top w:val="single" w:color="auto" w:sz="4" w:space="0"/>
              <w:left w:val="single" w:color="auto" w:sz="4" w:space="0"/>
              <w:right w:val="single" w:color="auto" w:sz="4" w:space="0"/>
            </w:tcBorders>
            <w:noWrap w:val="0"/>
            <w:vAlign w:val="center"/>
          </w:tcPr>
          <w:p w14:paraId="6A312888">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p w14:paraId="5E23FA0A">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粒状</w:t>
            </w:r>
          </w:p>
        </w:tc>
        <w:tc>
          <w:tcPr>
            <w:tcW w:w="6983" w:type="dxa"/>
            <w:tcBorders>
              <w:top w:val="single" w:color="auto" w:sz="4" w:space="0"/>
              <w:left w:val="single" w:color="auto" w:sz="4" w:space="0"/>
              <w:bottom w:val="single" w:color="auto" w:sz="4" w:space="0"/>
              <w:right w:val="single" w:color="auto" w:sz="4" w:space="0"/>
            </w:tcBorders>
            <w:noWrap w:val="0"/>
            <w:vAlign w:val="top"/>
          </w:tcPr>
          <w:p w14:paraId="65781BB4">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w:t>
            </w:r>
            <w:r>
              <w:rPr>
                <w:rFonts w:hint="eastAsia" w:cs="宋体" w:asciiTheme="minorEastAsia" w:hAnsiTheme="minorEastAsia" w:eastAsiaTheme="minorEastAsia"/>
                <w:b/>
                <w:bCs/>
                <w:color w:val="auto"/>
                <w:kern w:val="0"/>
                <w:sz w:val="24"/>
                <w:szCs w:val="24"/>
                <w:highlight w:val="none"/>
              </w:rPr>
              <w:t>是否有弹簧减震系统进行评价。拥有弹簧减震系统的得3分，否则得0分。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0E42D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6AB1F49C">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7A5537D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1012" w:type="dxa"/>
            <w:vMerge w:val="continue"/>
            <w:tcBorders>
              <w:left w:val="single" w:color="auto" w:sz="4" w:space="0"/>
              <w:right w:val="single" w:color="auto" w:sz="4" w:space="0"/>
            </w:tcBorders>
            <w:noWrap w:val="0"/>
            <w:vAlign w:val="center"/>
          </w:tcPr>
          <w:p w14:paraId="458A75E4">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4A9B58B5">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根据投标设备中品目号1-2的</w:t>
            </w:r>
            <w:r>
              <w:rPr>
                <w:rFonts w:hint="eastAsia" w:cs="宋体" w:asciiTheme="minorEastAsia" w:hAnsiTheme="minorEastAsia" w:eastAsiaTheme="minorEastAsia"/>
                <w:b/>
                <w:bCs/>
                <w:color w:val="auto"/>
                <w:kern w:val="0"/>
                <w:sz w:val="24"/>
                <w:szCs w:val="24"/>
                <w:highlight w:val="none"/>
              </w:rPr>
              <w:t>纸箱容量</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纸箱容量≥2</w:t>
            </w:r>
            <w:r>
              <w:rPr>
                <w:rFonts w:hint="default" w:cs="宋体" w:asciiTheme="minorEastAsia" w:hAnsiTheme="minorEastAsia" w:eastAsiaTheme="minorEastAsia"/>
                <w:b/>
                <w:bCs/>
                <w:color w:val="auto"/>
                <w:kern w:val="0"/>
                <w:sz w:val="24"/>
                <w:szCs w:val="24"/>
                <w:highlight w:val="none"/>
              </w:rPr>
              <w:t>5</w:t>
            </w:r>
            <w:r>
              <w:rPr>
                <w:rFonts w:hint="eastAsia" w:cs="宋体" w:asciiTheme="minorEastAsia" w:hAnsiTheme="minorEastAsia" w:eastAsiaTheme="minorEastAsia"/>
                <w:b/>
                <w:bCs/>
                <w:color w:val="auto"/>
                <w:kern w:val="0"/>
                <w:sz w:val="24"/>
                <w:szCs w:val="24"/>
                <w:highlight w:val="none"/>
              </w:rPr>
              <w:t>L得2分，纸箱容量≥21L得1分，其余得0分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纸箱容量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553A88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2</w:t>
            </w:r>
          </w:p>
        </w:tc>
      </w:tr>
      <w:tr w14:paraId="7DD6F47E">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185815B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w:t>
            </w:r>
          </w:p>
        </w:tc>
        <w:tc>
          <w:tcPr>
            <w:tcW w:w="1012" w:type="dxa"/>
            <w:vMerge w:val="continue"/>
            <w:tcBorders>
              <w:left w:val="single" w:color="auto" w:sz="4" w:space="0"/>
              <w:right w:val="single" w:color="auto" w:sz="4" w:space="0"/>
            </w:tcBorders>
            <w:noWrap w:val="0"/>
            <w:vAlign w:val="center"/>
          </w:tcPr>
          <w:p w14:paraId="58BF60A5">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3FDBC1CC">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根据投标设备中品目号1-2的</w:t>
            </w:r>
            <w:r>
              <w:rPr>
                <w:rFonts w:hint="eastAsia" w:cs="宋体" w:asciiTheme="minorEastAsia" w:hAnsiTheme="minorEastAsia" w:eastAsiaTheme="minorEastAsia"/>
                <w:b/>
                <w:bCs/>
                <w:color w:val="auto"/>
                <w:kern w:val="0"/>
                <w:sz w:val="24"/>
                <w:szCs w:val="24"/>
                <w:highlight w:val="none"/>
              </w:rPr>
              <w:t>工作时间</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工作时间≥30分钟得3分，工作时间＞25分钟得2分，其余得0分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工作时间/连续碎纸时间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04FFB0">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23061C6A">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3D8AF3AA">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1-8</w:t>
            </w:r>
          </w:p>
        </w:tc>
        <w:tc>
          <w:tcPr>
            <w:tcW w:w="1012" w:type="dxa"/>
            <w:vMerge w:val="continue"/>
            <w:tcBorders>
              <w:left w:val="single" w:color="auto" w:sz="4" w:space="0"/>
              <w:right w:val="single" w:color="auto" w:sz="4" w:space="0"/>
            </w:tcBorders>
            <w:noWrap w:val="0"/>
            <w:vAlign w:val="center"/>
          </w:tcPr>
          <w:p w14:paraId="5DA054B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61B69BA0">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根据投标设备中品目号1-2的</w:t>
            </w:r>
            <w:r>
              <w:rPr>
                <w:rFonts w:hint="eastAsia" w:cs="宋体" w:asciiTheme="minorEastAsia" w:hAnsiTheme="minorEastAsia" w:eastAsiaTheme="minorEastAsia"/>
                <w:b/>
                <w:bCs/>
                <w:color w:val="auto"/>
                <w:kern w:val="0"/>
                <w:sz w:val="24"/>
                <w:szCs w:val="24"/>
                <w:highlight w:val="none"/>
              </w:rPr>
              <w:t>碎纸速度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碎纸速度≥3m/min得3分，工作时间≥2.1m/min得1分，其余得0分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速度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17AC5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33EF4841">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3D4C940E">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1-9</w:t>
            </w:r>
          </w:p>
        </w:tc>
        <w:tc>
          <w:tcPr>
            <w:tcW w:w="1012" w:type="dxa"/>
            <w:vMerge w:val="continue"/>
            <w:tcBorders>
              <w:left w:val="single" w:color="auto" w:sz="4" w:space="0"/>
              <w:right w:val="single" w:color="auto" w:sz="4" w:space="0"/>
            </w:tcBorders>
            <w:noWrap w:val="0"/>
            <w:vAlign w:val="center"/>
          </w:tcPr>
          <w:p w14:paraId="6D62228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263DE442">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根据投标设备中品目号1-2碎纸机的</w:t>
            </w:r>
            <w:r>
              <w:rPr>
                <w:rFonts w:hint="eastAsia" w:cs="宋体" w:asciiTheme="minorEastAsia" w:hAnsiTheme="minorEastAsia" w:eastAsiaTheme="minorEastAsia"/>
                <w:b/>
                <w:bCs/>
                <w:color w:val="auto"/>
                <w:kern w:val="0"/>
                <w:sz w:val="24"/>
                <w:szCs w:val="24"/>
                <w:highlight w:val="none"/>
              </w:rPr>
              <w:t>碎纸效果</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碎纸效果≤2*10mm得3分，碎纸效果≤2*11mm得1分，其余得0分。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效果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ABC78C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4745711F">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2B10DC86">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1-10</w:t>
            </w:r>
          </w:p>
        </w:tc>
        <w:tc>
          <w:tcPr>
            <w:tcW w:w="1012" w:type="dxa"/>
            <w:vMerge w:val="continue"/>
            <w:tcBorders>
              <w:left w:val="single" w:color="auto" w:sz="4" w:space="0"/>
              <w:bottom w:val="single" w:color="auto" w:sz="4" w:space="0"/>
              <w:right w:val="single" w:color="auto" w:sz="4" w:space="0"/>
            </w:tcBorders>
            <w:noWrap w:val="0"/>
            <w:vAlign w:val="center"/>
          </w:tcPr>
          <w:p w14:paraId="0F38ABE6">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345E517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根据投标设备中品目号1-2的</w:t>
            </w:r>
            <w:r>
              <w:rPr>
                <w:rFonts w:hint="eastAsia" w:cs="宋体" w:asciiTheme="minorEastAsia" w:hAnsiTheme="minorEastAsia" w:eastAsiaTheme="minorEastAsia"/>
                <w:b/>
                <w:bCs/>
                <w:color w:val="auto"/>
                <w:kern w:val="0"/>
                <w:sz w:val="24"/>
                <w:szCs w:val="24"/>
                <w:highlight w:val="none"/>
              </w:rPr>
              <w:t>噪音分呗</w:t>
            </w:r>
            <w:r>
              <w:rPr>
                <w:rFonts w:hint="eastAsia" w:cs="宋体" w:asciiTheme="minorEastAsia" w:hAnsiTheme="minorEastAsia" w:eastAsiaTheme="minorEastAsia"/>
                <w:color w:val="auto"/>
                <w:kern w:val="0"/>
                <w:sz w:val="24"/>
                <w:szCs w:val="24"/>
                <w:highlight w:val="none"/>
              </w:rPr>
              <w:t>进行评价。</w:t>
            </w:r>
            <w:r>
              <w:rPr>
                <w:rFonts w:hint="eastAsia" w:ascii="宋体" w:hAnsi="宋体" w:eastAsia="宋体" w:cs="宋体"/>
                <w:b/>
                <w:bCs/>
                <w:color w:val="auto"/>
                <w:kern w:val="0"/>
                <w:sz w:val="24"/>
                <w:szCs w:val="24"/>
                <w:highlight w:val="none"/>
                <w:lang w:val="en-US" w:eastAsia="zh-CN" w:bidi="ar"/>
              </w:rPr>
              <w:t>噪音分呗≤55dB得3分，噪音分呗≤58dB得2分，其余得0分。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噪音分呗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D1C64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155AA1BB">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7ED45851">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1-11</w:t>
            </w:r>
          </w:p>
        </w:tc>
        <w:tc>
          <w:tcPr>
            <w:tcW w:w="1012" w:type="dxa"/>
            <w:vMerge w:val="restart"/>
            <w:tcBorders>
              <w:top w:val="single" w:color="auto" w:sz="4" w:space="0"/>
              <w:left w:val="single" w:color="auto" w:sz="4" w:space="0"/>
              <w:right w:val="single" w:color="auto" w:sz="4" w:space="0"/>
            </w:tcBorders>
            <w:noWrap w:val="0"/>
            <w:vAlign w:val="center"/>
          </w:tcPr>
          <w:p w14:paraId="14BFD82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p w14:paraId="6AAF1763">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段状</w:t>
            </w:r>
          </w:p>
        </w:tc>
        <w:tc>
          <w:tcPr>
            <w:tcW w:w="6983" w:type="dxa"/>
            <w:tcBorders>
              <w:top w:val="single" w:color="auto" w:sz="4" w:space="0"/>
              <w:left w:val="single" w:color="auto" w:sz="4" w:space="0"/>
              <w:bottom w:val="single" w:color="auto" w:sz="4" w:space="0"/>
              <w:right w:val="single" w:color="auto" w:sz="4" w:space="0"/>
            </w:tcBorders>
            <w:noWrap w:val="0"/>
            <w:vAlign w:val="top"/>
          </w:tcPr>
          <w:p w14:paraId="750A1404">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根据投标设备中品目号1-3的</w:t>
            </w:r>
            <w:r>
              <w:rPr>
                <w:rFonts w:hint="eastAsia" w:cs="宋体" w:asciiTheme="minorEastAsia" w:hAnsiTheme="minorEastAsia" w:eastAsiaTheme="minorEastAsia"/>
                <w:b/>
                <w:bCs/>
                <w:color w:val="auto"/>
                <w:kern w:val="0"/>
                <w:sz w:val="24"/>
                <w:szCs w:val="24"/>
                <w:highlight w:val="none"/>
              </w:rPr>
              <w:t>碎纸能力</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碎纸能力≥18张得2分，碎纸能力≥16张得1分，其余得0分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能力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E0B6812">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2</w:t>
            </w:r>
          </w:p>
        </w:tc>
      </w:tr>
      <w:tr w14:paraId="04F497C7">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4DF44D40">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1-12</w:t>
            </w:r>
          </w:p>
        </w:tc>
        <w:tc>
          <w:tcPr>
            <w:tcW w:w="1012" w:type="dxa"/>
            <w:vMerge w:val="continue"/>
            <w:tcBorders>
              <w:left w:val="single" w:color="auto" w:sz="4" w:space="0"/>
              <w:right w:val="single" w:color="auto" w:sz="4" w:space="0"/>
            </w:tcBorders>
            <w:noWrap w:val="0"/>
            <w:vAlign w:val="center"/>
          </w:tcPr>
          <w:p w14:paraId="0C31DD1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2FD01999">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根据投标设备中品目号1-3的</w:t>
            </w:r>
            <w:r>
              <w:rPr>
                <w:rFonts w:hint="eastAsia" w:cs="宋体" w:asciiTheme="minorEastAsia" w:hAnsiTheme="minorEastAsia" w:eastAsiaTheme="minorEastAsia"/>
                <w:b/>
                <w:bCs/>
                <w:color w:val="auto"/>
                <w:kern w:val="0"/>
                <w:sz w:val="24"/>
                <w:szCs w:val="24"/>
                <w:highlight w:val="none"/>
              </w:rPr>
              <w:t>是否有弹簧减震系统进行评价。拥有弹簧减震系统的得3分，否则得0分。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7751F8">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6517DFDC">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16B14CF3">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1-13</w:t>
            </w:r>
          </w:p>
        </w:tc>
        <w:tc>
          <w:tcPr>
            <w:tcW w:w="1012" w:type="dxa"/>
            <w:vMerge w:val="continue"/>
            <w:tcBorders>
              <w:left w:val="single" w:color="auto" w:sz="4" w:space="0"/>
              <w:right w:val="single" w:color="auto" w:sz="4" w:space="0"/>
            </w:tcBorders>
            <w:noWrap w:val="0"/>
            <w:vAlign w:val="center"/>
          </w:tcPr>
          <w:p w14:paraId="14CF8D1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68F9B03F">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根据投标设备中品目号1-3的</w:t>
            </w:r>
            <w:r>
              <w:rPr>
                <w:rFonts w:hint="eastAsia" w:cs="宋体" w:asciiTheme="minorEastAsia" w:hAnsiTheme="minorEastAsia" w:eastAsiaTheme="minorEastAsia"/>
                <w:b/>
                <w:bCs/>
                <w:color w:val="auto"/>
                <w:kern w:val="0"/>
                <w:sz w:val="24"/>
                <w:szCs w:val="24"/>
                <w:highlight w:val="none"/>
              </w:rPr>
              <w:t>工作时间</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工作时间≥120分钟得3分，工作时间＞60分钟得1分，其余得0分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工作时间/连续碎纸时间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65127F">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0C12A90A">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714A4C0E">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1-14</w:t>
            </w:r>
          </w:p>
        </w:tc>
        <w:tc>
          <w:tcPr>
            <w:tcW w:w="1012" w:type="dxa"/>
            <w:vMerge w:val="continue"/>
            <w:tcBorders>
              <w:left w:val="single" w:color="auto" w:sz="4" w:space="0"/>
              <w:bottom w:val="single" w:color="auto" w:sz="4" w:space="0"/>
              <w:right w:val="single" w:color="auto" w:sz="4" w:space="0"/>
            </w:tcBorders>
            <w:noWrap w:val="0"/>
            <w:vAlign w:val="center"/>
          </w:tcPr>
          <w:p w14:paraId="37703F83">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4D097277">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根据投标设备中品目号1-3的</w:t>
            </w:r>
            <w:r>
              <w:rPr>
                <w:rFonts w:hint="eastAsia" w:cs="宋体" w:asciiTheme="minorEastAsia" w:hAnsiTheme="minorEastAsia" w:eastAsiaTheme="minorEastAsia"/>
                <w:b/>
                <w:bCs/>
                <w:color w:val="auto"/>
                <w:kern w:val="0"/>
                <w:sz w:val="24"/>
                <w:szCs w:val="24"/>
                <w:highlight w:val="none"/>
              </w:rPr>
              <w:t>纸箱容量</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纸箱容量≥25L得3分</w:t>
            </w:r>
            <w:r>
              <w:rPr>
                <w:rFonts w:hint="eastAsia" w:cs="宋体" w:asciiTheme="minorEastAsia" w:hAnsiTheme="minorEastAsia" w:eastAsiaTheme="minorEastAsia"/>
                <w:color w:val="auto"/>
                <w:kern w:val="0"/>
                <w:sz w:val="24"/>
                <w:szCs w:val="24"/>
                <w:highlight w:val="none"/>
              </w:rPr>
              <w:t>，</w:t>
            </w:r>
            <w:r>
              <w:rPr>
                <w:rFonts w:hint="eastAsia" w:cs="宋体" w:asciiTheme="minorEastAsia" w:hAnsiTheme="minorEastAsia" w:eastAsiaTheme="minorEastAsia"/>
                <w:b/>
                <w:bCs/>
                <w:color w:val="auto"/>
                <w:kern w:val="0"/>
                <w:sz w:val="24"/>
                <w:szCs w:val="24"/>
                <w:highlight w:val="none"/>
              </w:rPr>
              <w:t>纸箱容量≥24L得1分</w:t>
            </w:r>
            <w:r>
              <w:rPr>
                <w:rFonts w:hint="eastAsia" w:cs="宋体" w:asciiTheme="minorEastAsia" w:hAnsiTheme="minorEastAsia" w:eastAsiaTheme="minorEastAsia"/>
                <w:color w:val="auto"/>
                <w:kern w:val="0"/>
                <w:sz w:val="24"/>
                <w:szCs w:val="24"/>
                <w:highlight w:val="none"/>
              </w:rPr>
              <w:t>，</w:t>
            </w:r>
            <w:r>
              <w:rPr>
                <w:rFonts w:hint="eastAsia" w:cs="宋体" w:asciiTheme="minorEastAsia" w:hAnsiTheme="minorEastAsia" w:eastAsiaTheme="minorEastAsia"/>
                <w:b/>
                <w:bCs/>
                <w:color w:val="auto"/>
                <w:kern w:val="0"/>
                <w:sz w:val="24"/>
                <w:szCs w:val="24"/>
                <w:highlight w:val="none"/>
              </w:rPr>
              <w:t>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纸箱容量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C8B08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519C0B47">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3229A35F">
            <w:pPr>
              <w:keepNext w:val="0"/>
              <w:keepLines w:val="0"/>
              <w:suppressLineNumbers w:val="0"/>
              <w:spacing w:before="0" w:beforeAutospacing="0" w:after="0" w:afterAutospacing="0" w:line="360" w:lineRule="auto"/>
              <w:ind w:left="0" w:right="0"/>
              <w:jc w:val="center"/>
              <w:rPr>
                <w:rFonts w:hint="default" w:ascii="宋体" w:hAnsi="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1-15</w:t>
            </w:r>
          </w:p>
        </w:tc>
        <w:tc>
          <w:tcPr>
            <w:tcW w:w="1012" w:type="dxa"/>
            <w:vMerge w:val="restart"/>
            <w:tcBorders>
              <w:top w:val="single" w:color="auto" w:sz="4" w:space="0"/>
              <w:left w:val="single" w:color="auto" w:sz="4" w:space="0"/>
              <w:right w:val="single" w:color="auto" w:sz="4" w:space="0"/>
            </w:tcBorders>
            <w:noWrap w:val="0"/>
            <w:vAlign w:val="center"/>
          </w:tcPr>
          <w:p w14:paraId="40B8E26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p w14:paraId="48B9CC0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粒状</w:t>
            </w:r>
          </w:p>
        </w:tc>
        <w:tc>
          <w:tcPr>
            <w:tcW w:w="6983" w:type="dxa"/>
            <w:tcBorders>
              <w:top w:val="single" w:color="auto" w:sz="4" w:space="0"/>
              <w:left w:val="single" w:color="auto" w:sz="4" w:space="0"/>
              <w:bottom w:val="single" w:color="auto" w:sz="4" w:space="0"/>
              <w:right w:val="single" w:color="auto" w:sz="4" w:space="0"/>
            </w:tcBorders>
            <w:noWrap w:val="0"/>
            <w:vAlign w:val="top"/>
          </w:tcPr>
          <w:p w14:paraId="508C22C8">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根据投标设备中品目号1-4碎纸机的</w:t>
            </w:r>
            <w:r>
              <w:rPr>
                <w:rFonts w:hint="eastAsia" w:cs="宋体" w:asciiTheme="minorEastAsia" w:hAnsiTheme="minorEastAsia" w:eastAsiaTheme="minorEastAsia"/>
                <w:b/>
                <w:bCs/>
                <w:color w:val="auto"/>
                <w:kern w:val="0"/>
                <w:sz w:val="24"/>
                <w:szCs w:val="24"/>
                <w:highlight w:val="none"/>
              </w:rPr>
              <w:t>碎纸效果</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碎纸效果≤2*10mm得3分，碎纸效果≤2*11mm得1分，其余得0分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效果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8F1D337">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5817303E">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59079524">
            <w:pPr>
              <w:keepNext w:val="0"/>
              <w:keepLines w:val="0"/>
              <w:widowControl/>
              <w:suppressLineNumbers w:val="0"/>
              <w:spacing w:before="0" w:beforeAutospacing="0" w:after="0" w:afterAutospacing="0" w:line="360" w:lineRule="auto"/>
              <w:ind w:left="0" w:right="0"/>
              <w:jc w:val="center"/>
              <w:rPr>
                <w:rFonts w:hint="eastAsia" w:ascii="宋体" w:hAnsi="宋体" w:cs="宋体"/>
                <w:bCs/>
                <w:color w:val="auto"/>
                <w:sz w:val="24"/>
                <w:szCs w:val="24"/>
                <w:highlight w:val="none"/>
                <w:lang w:val="en-US" w:eastAsia="zh-CN"/>
              </w:rPr>
            </w:pPr>
            <w:r>
              <w:rPr>
                <w:rFonts w:hint="eastAsia" w:cs="宋体" w:asciiTheme="minorEastAsia" w:hAnsiTheme="minorEastAsia" w:eastAsiaTheme="minorEastAsia"/>
                <w:color w:val="auto"/>
                <w:kern w:val="0"/>
                <w:sz w:val="24"/>
                <w:szCs w:val="24"/>
                <w:highlight w:val="none"/>
              </w:rPr>
              <w:t>1-16</w:t>
            </w:r>
          </w:p>
        </w:tc>
        <w:tc>
          <w:tcPr>
            <w:tcW w:w="1012" w:type="dxa"/>
            <w:vMerge w:val="continue"/>
            <w:tcBorders>
              <w:left w:val="single" w:color="auto" w:sz="4" w:space="0"/>
              <w:right w:val="single" w:color="auto" w:sz="4" w:space="0"/>
            </w:tcBorders>
            <w:noWrap w:val="0"/>
            <w:vAlign w:val="center"/>
          </w:tcPr>
          <w:p w14:paraId="0A2C02ED">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439A4693">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根据投标设备中品目号1-4的</w:t>
            </w:r>
            <w:r>
              <w:rPr>
                <w:rFonts w:hint="eastAsia" w:cs="宋体" w:asciiTheme="minorEastAsia" w:hAnsiTheme="minorEastAsia" w:eastAsiaTheme="minorEastAsia"/>
                <w:b/>
                <w:bCs/>
                <w:color w:val="auto"/>
                <w:kern w:val="0"/>
                <w:sz w:val="24"/>
                <w:szCs w:val="24"/>
                <w:highlight w:val="none"/>
              </w:rPr>
              <w:t>碎纸宽度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碎纸宽度≥225mm得3分</w:t>
            </w:r>
            <w:r>
              <w:rPr>
                <w:rFonts w:hint="eastAsia" w:cs="宋体" w:asciiTheme="minorEastAsia" w:hAnsiTheme="minorEastAsia" w:eastAsiaTheme="minorEastAsia"/>
                <w:color w:val="auto"/>
                <w:kern w:val="0"/>
                <w:sz w:val="24"/>
                <w:szCs w:val="24"/>
                <w:highlight w:val="none"/>
              </w:rPr>
              <w:t>，</w:t>
            </w:r>
            <w:r>
              <w:rPr>
                <w:rFonts w:hint="eastAsia" w:cs="宋体" w:asciiTheme="minorEastAsia" w:hAnsiTheme="minorEastAsia" w:eastAsiaTheme="minorEastAsia"/>
                <w:b/>
                <w:bCs/>
                <w:color w:val="auto"/>
                <w:kern w:val="0"/>
                <w:sz w:val="24"/>
                <w:szCs w:val="24"/>
                <w:highlight w:val="none"/>
              </w:rPr>
              <w:t>碎纸宽度≥221mm得1分，其余得0分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宽度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25015A2">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45473C0C">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29EB538C">
            <w:pPr>
              <w:keepNext w:val="0"/>
              <w:keepLines w:val="0"/>
              <w:widowControl/>
              <w:suppressLineNumbers w:val="0"/>
              <w:spacing w:before="0" w:beforeAutospacing="0" w:after="0" w:afterAutospacing="0" w:line="360" w:lineRule="auto"/>
              <w:ind w:left="0" w:right="0"/>
              <w:jc w:val="center"/>
              <w:rPr>
                <w:rFonts w:hint="eastAsia" w:ascii="宋体" w:hAnsi="宋体" w:cs="宋体"/>
                <w:bCs/>
                <w:color w:val="auto"/>
                <w:sz w:val="24"/>
                <w:szCs w:val="24"/>
                <w:highlight w:val="none"/>
                <w:lang w:val="en-US" w:eastAsia="zh-CN"/>
              </w:rPr>
            </w:pPr>
            <w:r>
              <w:rPr>
                <w:rFonts w:hint="eastAsia" w:cs="宋体" w:asciiTheme="minorEastAsia" w:hAnsiTheme="minorEastAsia" w:eastAsiaTheme="minorEastAsia"/>
                <w:color w:val="auto"/>
                <w:kern w:val="0"/>
                <w:sz w:val="24"/>
                <w:szCs w:val="24"/>
                <w:highlight w:val="none"/>
              </w:rPr>
              <w:t>1-17</w:t>
            </w:r>
          </w:p>
        </w:tc>
        <w:tc>
          <w:tcPr>
            <w:tcW w:w="1012" w:type="dxa"/>
            <w:vMerge w:val="continue"/>
            <w:tcBorders>
              <w:left w:val="single" w:color="auto" w:sz="4" w:space="0"/>
              <w:right w:val="single" w:color="auto" w:sz="4" w:space="0"/>
            </w:tcBorders>
            <w:noWrap w:val="0"/>
            <w:vAlign w:val="center"/>
          </w:tcPr>
          <w:p w14:paraId="1C62C0A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5DEF239F">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根据投标设备中品目号1-4的</w:t>
            </w:r>
            <w:r>
              <w:rPr>
                <w:rFonts w:hint="eastAsia" w:cs="宋体" w:asciiTheme="minorEastAsia" w:hAnsiTheme="minorEastAsia" w:eastAsiaTheme="minorEastAsia"/>
                <w:b/>
                <w:bCs/>
                <w:color w:val="auto"/>
                <w:kern w:val="0"/>
                <w:sz w:val="24"/>
                <w:szCs w:val="24"/>
                <w:highlight w:val="none"/>
              </w:rPr>
              <w:t>碎纸速度</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碎纸速度≥3m/min得3分，工作时间≥2.1m/min得1分，其余得0分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碎纸速度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2F804F">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552FD254">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1CEFD7E1">
            <w:pPr>
              <w:keepNext w:val="0"/>
              <w:keepLines w:val="0"/>
              <w:widowControl/>
              <w:suppressLineNumbers w:val="0"/>
              <w:spacing w:before="0" w:beforeAutospacing="0" w:after="0" w:afterAutospacing="0" w:line="360" w:lineRule="auto"/>
              <w:ind w:left="0" w:right="0"/>
              <w:jc w:val="center"/>
              <w:rPr>
                <w:rFonts w:hint="eastAsia" w:ascii="宋体" w:hAnsi="宋体" w:cs="宋体"/>
                <w:bCs/>
                <w:color w:val="auto"/>
                <w:sz w:val="24"/>
                <w:szCs w:val="24"/>
                <w:highlight w:val="none"/>
                <w:lang w:val="en-US" w:eastAsia="zh-CN"/>
              </w:rPr>
            </w:pPr>
            <w:r>
              <w:rPr>
                <w:rFonts w:hint="eastAsia" w:cs="宋体" w:asciiTheme="minorEastAsia" w:hAnsiTheme="minorEastAsia" w:eastAsiaTheme="minorEastAsia"/>
                <w:color w:val="auto"/>
                <w:kern w:val="0"/>
                <w:sz w:val="24"/>
                <w:szCs w:val="24"/>
                <w:highlight w:val="none"/>
              </w:rPr>
              <w:t>1-18</w:t>
            </w:r>
          </w:p>
        </w:tc>
        <w:tc>
          <w:tcPr>
            <w:tcW w:w="1012" w:type="dxa"/>
            <w:vMerge w:val="continue"/>
            <w:tcBorders>
              <w:left w:val="single" w:color="auto" w:sz="4" w:space="0"/>
              <w:right w:val="single" w:color="auto" w:sz="4" w:space="0"/>
            </w:tcBorders>
            <w:noWrap w:val="0"/>
            <w:vAlign w:val="center"/>
          </w:tcPr>
          <w:p w14:paraId="340CD442">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3939A157">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根据投标设备中品目号1-4的</w:t>
            </w:r>
            <w:r>
              <w:rPr>
                <w:rFonts w:hint="eastAsia" w:cs="宋体" w:asciiTheme="minorEastAsia" w:hAnsiTheme="minorEastAsia" w:eastAsiaTheme="minorEastAsia"/>
                <w:b/>
                <w:bCs/>
                <w:color w:val="auto"/>
                <w:kern w:val="0"/>
                <w:sz w:val="24"/>
                <w:szCs w:val="24"/>
                <w:highlight w:val="none"/>
              </w:rPr>
              <w:t>噪音分呗</w:t>
            </w:r>
            <w:r>
              <w:rPr>
                <w:rFonts w:hint="eastAsia" w:cs="宋体" w:asciiTheme="minorEastAsia" w:hAnsiTheme="minorEastAsia" w:eastAsiaTheme="minorEastAsia"/>
                <w:color w:val="auto"/>
                <w:kern w:val="0"/>
                <w:sz w:val="24"/>
                <w:szCs w:val="24"/>
                <w:highlight w:val="none"/>
              </w:rPr>
              <w:t>进行评价。</w:t>
            </w:r>
            <w:r>
              <w:rPr>
                <w:rFonts w:hint="eastAsia" w:cs="宋体" w:asciiTheme="minorEastAsia" w:hAnsiTheme="minorEastAsia" w:eastAsiaTheme="minorEastAsia"/>
                <w:b/>
                <w:bCs/>
                <w:color w:val="auto"/>
                <w:kern w:val="0"/>
                <w:sz w:val="24"/>
                <w:szCs w:val="24"/>
                <w:highlight w:val="none"/>
              </w:rPr>
              <w:t>噪音分呗≤55dB得3分，噪音分呗≤58dB得2分，其余得0分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噪音分呗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10663E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r w14:paraId="6AFFF986">
        <w:tblPrEx>
          <w:tblCellMar>
            <w:top w:w="0" w:type="dxa"/>
            <w:left w:w="108" w:type="dxa"/>
            <w:bottom w:w="0" w:type="dxa"/>
            <w:right w:w="108" w:type="dxa"/>
          </w:tblCellMar>
        </w:tblPrEx>
        <w:trPr>
          <w:jc w:val="center"/>
        </w:trPr>
        <w:tc>
          <w:tcPr>
            <w:tcW w:w="749" w:type="dxa"/>
            <w:tcBorders>
              <w:top w:val="single" w:color="auto" w:sz="4" w:space="0"/>
              <w:left w:val="single" w:color="auto" w:sz="4" w:space="0"/>
              <w:bottom w:val="single" w:color="auto" w:sz="4" w:space="0"/>
              <w:right w:val="single" w:color="auto" w:sz="4" w:space="0"/>
            </w:tcBorders>
            <w:noWrap w:val="0"/>
            <w:vAlign w:val="center"/>
          </w:tcPr>
          <w:p w14:paraId="71E2E666">
            <w:pPr>
              <w:keepNext w:val="0"/>
              <w:keepLines w:val="0"/>
              <w:widowControl/>
              <w:suppressLineNumbers w:val="0"/>
              <w:spacing w:before="0" w:beforeAutospacing="0" w:after="0" w:afterAutospacing="0" w:line="360" w:lineRule="auto"/>
              <w:ind w:left="0" w:right="0"/>
              <w:jc w:val="center"/>
              <w:rPr>
                <w:rFonts w:hint="eastAsia" w:ascii="宋体" w:hAnsi="宋体" w:cs="宋体"/>
                <w:bCs/>
                <w:color w:val="auto"/>
                <w:sz w:val="24"/>
                <w:szCs w:val="24"/>
                <w:highlight w:val="none"/>
                <w:lang w:val="en-US" w:eastAsia="zh-CN"/>
              </w:rPr>
            </w:pPr>
            <w:r>
              <w:rPr>
                <w:rFonts w:hint="eastAsia" w:cs="宋体" w:asciiTheme="minorEastAsia" w:hAnsiTheme="minorEastAsia" w:eastAsiaTheme="minorEastAsia"/>
                <w:color w:val="auto"/>
                <w:kern w:val="0"/>
                <w:sz w:val="24"/>
                <w:szCs w:val="24"/>
                <w:highlight w:val="none"/>
              </w:rPr>
              <w:t>1-19</w:t>
            </w:r>
          </w:p>
        </w:tc>
        <w:tc>
          <w:tcPr>
            <w:tcW w:w="1012" w:type="dxa"/>
            <w:vMerge w:val="continue"/>
            <w:tcBorders>
              <w:left w:val="single" w:color="auto" w:sz="4" w:space="0"/>
              <w:bottom w:val="single" w:color="auto" w:sz="4" w:space="0"/>
              <w:right w:val="single" w:color="auto" w:sz="4" w:space="0"/>
            </w:tcBorders>
            <w:noWrap w:val="0"/>
            <w:vAlign w:val="center"/>
          </w:tcPr>
          <w:p w14:paraId="583C935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p>
        </w:tc>
        <w:tc>
          <w:tcPr>
            <w:tcW w:w="6983" w:type="dxa"/>
            <w:tcBorders>
              <w:top w:val="single" w:color="auto" w:sz="4" w:space="0"/>
              <w:left w:val="single" w:color="auto" w:sz="4" w:space="0"/>
              <w:bottom w:val="single" w:color="auto" w:sz="4" w:space="0"/>
              <w:right w:val="single" w:color="auto" w:sz="4" w:space="0"/>
            </w:tcBorders>
            <w:noWrap w:val="0"/>
            <w:vAlign w:val="top"/>
          </w:tcPr>
          <w:p w14:paraId="563D05CA">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根据投标设备中品目号1-4的</w:t>
            </w:r>
            <w:r>
              <w:rPr>
                <w:rFonts w:hint="eastAsia" w:cs="宋体" w:asciiTheme="minorEastAsia" w:hAnsiTheme="minorEastAsia" w:eastAsiaTheme="minorEastAsia"/>
                <w:b/>
                <w:bCs/>
                <w:color w:val="auto"/>
                <w:kern w:val="0"/>
                <w:sz w:val="24"/>
                <w:szCs w:val="24"/>
                <w:highlight w:val="none"/>
              </w:rPr>
              <w:t>是否有弹簧减震系统进行评价。拥有弹簧减震系统的得3分，否则得0分。</w:t>
            </w:r>
            <w:r>
              <w:rPr>
                <w:rFonts w:hint="eastAsia" w:cs="宋体" w:asciiTheme="minorEastAsia" w:hAnsiTheme="minorEastAsia" w:eastAsiaTheme="minorEastAsia"/>
                <w:color w:val="auto"/>
                <w:kern w:val="0"/>
                <w:sz w:val="24"/>
                <w:szCs w:val="24"/>
                <w:highlight w:val="none"/>
              </w:rPr>
              <w:t>（投标人需提供加盖投标人公章的产品彩页，以彩页上的参数为准，投标人应保证彩页所注明的相关技术指标与投标人投标品牌制造商国内外官方网站的相关信息一致，若投标人为联合体投标的，联合体中的其中一方盖章即可。）</w:t>
            </w:r>
          </w:p>
        </w:tc>
        <w:tc>
          <w:tcPr>
            <w:tcW w:w="88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DB651C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lang w:val="en-US" w:eastAsia="zh-CN" w:bidi="ar-SA"/>
              </w:rPr>
            </w:pPr>
            <w:r>
              <w:rPr>
                <w:rFonts w:hint="eastAsia" w:cs="宋体" w:asciiTheme="minorEastAsia" w:hAnsiTheme="minorEastAsia" w:eastAsiaTheme="minorEastAsia"/>
                <w:color w:val="auto"/>
                <w:kern w:val="0"/>
                <w:sz w:val="24"/>
                <w:szCs w:val="24"/>
                <w:highlight w:val="none"/>
              </w:rPr>
              <w:t>3</w:t>
            </w:r>
          </w:p>
        </w:tc>
      </w:tr>
    </w:tbl>
    <w:p w14:paraId="686F3CF9">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2CE79531">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w:t>
      </w:r>
      <w:r>
        <w:rPr>
          <w:rFonts w:hint="eastAsia" w:ascii="宋体" w:hAnsi="宋体" w:eastAsia="宋体" w:cs="宋体"/>
          <w:color w:val="auto"/>
          <w:sz w:val="24"/>
          <w:szCs w:val="24"/>
          <w:highlight w:val="none"/>
        </w:rPr>
        <w:t>2)：按</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分评分法</w:t>
      </w:r>
      <w:r>
        <w:rPr>
          <w:rFonts w:hint="eastAsia" w:ascii="宋体" w:hAnsi="宋体" w:eastAsia="宋体" w:cs="宋体"/>
          <w:color w:val="auto"/>
          <w:sz w:val="24"/>
          <w:szCs w:val="24"/>
          <w:highlight w:val="none"/>
        </w:rPr>
        <w:t>，商务评分考虑下列因素：</w:t>
      </w:r>
    </w:p>
    <w:tbl>
      <w:tblPr>
        <w:tblStyle w:val="12"/>
        <w:tblW w:w="9686" w:type="dxa"/>
        <w:tblInd w:w="-494" w:type="dxa"/>
        <w:tblLayout w:type="fixed"/>
        <w:tblCellMar>
          <w:top w:w="0" w:type="dxa"/>
          <w:left w:w="108" w:type="dxa"/>
          <w:bottom w:w="0" w:type="dxa"/>
          <w:right w:w="108" w:type="dxa"/>
        </w:tblCellMar>
      </w:tblPr>
      <w:tblGrid>
        <w:gridCol w:w="772"/>
        <w:gridCol w:w="8065"/>
        <w:gridCol w:w="849"/>
      </w:tblGrid>
      <w:tr w14:paraId="69000518">
        <w:tc>
          <w:tcPr>
            <w:tcW w:w="772" w:type="dxa"/>
            <w:tcBorders>
              <w:top w:val="single" w:color="auto" w:sz="4" w:space="0"/>
              <w:left w:val="single" w:color="auto" w:sz="4" w:space="0"/>
              <w:bottom w:val="single" w:color="auto" w:sz="4" w:space="0"/>
              <w:right w:val="single" w:color="auto" w:sz="4" w:space="0"/>
            </w:tcBorders>
            <w:noWrap w:val="0"/>
            <w:vAlign w:val="center"/>
          </w:tcPr>
          <w:p w14:paraId="5C6F3450">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8065" w:type="dxa"/>
            <w:tcBorders>
              <w:top w:val="single" w:color="auto" w:sz="4" w:space="0"/>
              <w:left w:val="single" w:color="auto" w:sz="4" w:space="0"/>
              <w:bottom w:val="single" w:color="auto" w:sz="4" w:space="0"/>
              <w:right w:val="single" w:color="auto" w:sz="4" w:space="0"/>
            </w:tcBorders>
            <w:noWrap w:val="0"/>
            <w:vAlign w:val="center"/>
          </w:tcPr>
          <w:p w14:paraId="28F18033">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69519CC9">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4D738081">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78EA4B51">
        <w:tblPrEx>
          <w:tblCellMar>
            <w:top w:w="0" w:type="dxa"/>
            <w:left w:w="108" w:type="dxa"/>
            <w:bottom w:w="0" w:type="dxa"/>
            <w:right w:w="108" w:type="dxa"/>
          </w:tblCellMar>
        </w:tblPrEx>
        <w:tc>
          <w:tcPr>
            <w:tcW w:w="772" w:type="dxa"/>
            <w:tcBorders>
              <w:top w:val="single" w:color="auto" w:sz="4" w:space="0"/>
              <w:left w:val="single" w:color="auto" w:sz="4" w:space="0"/>
              <w:bottom w:val="single" w:color="auto" w:sz="4" w:space="0"/>
              <w:right w:val="single" w:color="auto" w:sz="4" w:space="0"/>
            </w:tcBorders>
            <w:noWrap w:val="0"/>
            <w:vAlign w:val="center"/>
          </w:tcPr>
          <w:p w14:paraId="4144CF7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8065" w:type="dxa"/>
            <w:tcBorders>
              <w:top w:val="single" w:color="auto" w:sz="4" w:space="0"/>
              <w:left w:val="single" w:color="auto" w:sz="4" w:space="0"/>
              <w:bottom w:val="single" w:color="auto" w:sz="4" w:space="0"/>
              <w:right w:val="single" w:color="auto" w:sz="4" w:space="0"/>
            </w:tcBorders>
            <w:noWrap w:val="0"/>
            <w:vAlign w:val="top"/>
          </w:tcPr>
          <w:p w14:paraId="72F2213C">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投标人应具备独立的企业法人资格，根据投标人是否为投标的品目号1-1、1-2、1-3、1-4全部设备的制造商、制造商的关联企业或联合体进行评价。（</w:t>
            </w:r>
            <w:r>
              <w:rPr>
                <w:rFonts w:hint="eastAsia" w:cs="宋体" w:asciiTheme="minorEastAsia" w:hAnsiTheme="minorEastAsia" w:eastAsiaTheme="minorEastAsia"/>
                <w:b/>
                <w:bCs/>
                <w:color w:val="auto"/>
                <w:kern w:val="0"/>
                <w:sz w:val="24"/>
                <w:szCs w:val="24"/>
                <w:highlight w:val="none"/>
              </w:rPr>
              <w:t>投标人为品目号1-1、1-2、1-3、1-4全部投标设备的制造商或制造商的关联企业或联合体投标的得3分，其余情况得0分</w:t>
            </w:r>
            <w:r>
              <w:rPr>
                <w:rFonts w:hint="eastAsia" w:cs="宋体" w:asciiTheme="minorEastAsia" w:hAnsiTheme="minorEastAsia" w:eastAsiaTheme="minorEastAsia"/>
                <w:color w:val="auto"/>
                <w:kern w:val="0"/>
                <w:sz w:val="24"/>
                <w:szCs w:val="24"/>
                <w:highlight w:val="none"/>
              </w:rPr>
              <w:t>）备注：联合体投标的，联合体一方必须是所投品目号1-1、1-2、1-3、1-4全部设备的制造商或制造商的关联企业。凡属制造商的关联企业，其关联关系应符合《企业会计准则第36号—关联方披露（2006）》（财会[2006]3号）中“关联方关系”的要求，投标人应在投标文件中按后附格式提供《关联企业证明》。</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06D65129">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r w14:paraId="4F5524CB">
        <w:tblPrEx>
          <w:tblCellMar>
            <w:top w:w="0" w:type="dxa"/>
            <w:left w:w="108" w:type="dxa"/>
            <w:bottom w:w="0" w:type="dxa"/>
            <w:right w:w="108" w:type="dxa"/>
          </w:tblCellMar>
        </w:tblPrEx>
        <w:tc>
          <w:tcPr>
            <w:tcW w:w="772" w:type="dxa"/>
            <w:tcBorders>
              <w:top w:val="single" w:color="auto" w:sz="4" w:space="0"/>
              <w:left w:val="single" w:color="auto" w:sz="4" w:space="0"/>
              <w:bottom w:val="single" w:color="auto" w:sz="4" w:space="0"/>
              <w:right w:val="single" w:color="auto" w:sz="4" w:space="0"/>
            </w:tcBorders>
            <w:noWrap w:val="0"/>
            <w:vAlign w:val="center"/>
          </w:tcPr>
          <w:p w14:paraId="01494DBA">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8065" w:type="dxa"/>
            <w:tcBorders>
              <w:top w:val="single" w:color="auto" w:sz="4" w:space="0"/>
              <w:left w:val="single" w:color="auto" w:sz="4" w:space="0"/>
              <w:bottom w:val="single" w:color="auto" w:sz="4" w:space="0"/>
              <w:right w:val="single" w:color="auto" w:sz="4" w:space="0"/>
            </w:tcBorders>
            <w:noWrap w:val="0"/>
            <w:vAlign w:val="bottom"/>
          </w:tcPr>
          <w:p w14:paraId="68926F5C">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投标人提供自2023年1月1日至开标当天获得碎纸机项目最终用户盖章的服务满意度调查表，且满意度调查表结果为满意的，每提供一份得1分，最高得3分，须提供客户满意度调查表的扫描件，否则不得分。若投标人为联合体投标的，联合体中的其中一方盖章即可。</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464D918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r w14:paraId="784D04EF">
        <w:tblPrEx>
          <w:tblCellMar>
            <w:top w:w="0" w:type="dxa"/>
            <w:left w:w="108" w:type="dxa"/>
            <w:bottom w:w="0" w:type="dxa"/>
            <w:right w:w="108" w:type="dxa"/>
          </w:tblCellMar>
        </w:tblPrEx>
        <w:tc>
          <w:tcPr>
            <w:tcW w:w="772" w:type="dxa"/>
            <w:tcBorders>
              <w:top w:val="single" w:color="auto" w:sz="4" w:space="0"/>
              <w:left w:val="single" w:color="auto" w:sz="4" w:space="0"/>
              <w:bottom w:val="single" w:color="auto" w:sz="4" w:space="0"/>
              <w:right w:val="single" w:color="auto" w:sz="4" w:space="0"/>
            </w:tcBorders>
            <w:noWrap w:val="0"/>
            <w:vAlign w:val="center"/>
          </w:tcPr>
          <w:p w14:paraId="0BCD48E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8065" w:type="dxa"/>
            <w:tcBorders>
              <w:top w:val="single" w:color="auto" w:sz="4" w:space="0"/>
              <w:left w:val="single" w:color="auto" w:sz="4" w:space="0"/>
              <w:bottom w:val="single" w:color="auto" w:sz="4" w:space="0"/>
              <w:right w:val="single" w:color="auto" w:sz="4" w:space="0"/>
            </w:tcBorders>
            <w:noWrap w:val="0"/>
            <w:vAlign w:val="bottom"/>
          </w:tcPr>
          <w:p w14:paraId="544AE33F">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投标人承诺并提供书面承诺函（格式自拟），中标后在厦门提供售后服务网点的得3分，其余情况得0分。投标人需提供书面承诺函并加盖投标人公章，否则不得分。若投标人为联合体投标的，联合体中的其中一方盖章即可。</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4776ACC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r w14:paraId="5D9CEE79">
        <w:tblPrEx>
          <w:tblCellMar>
            <w:top w:w="0" w:type="dxa"/>
            <w:left w:w="108" w:type="dxa"/>
            <w:bottom w:w="0" w:type="dxa"/>
            <w:right w:w="108" w:type="dxa"/>
          </w:tblCellMar>
        </w:tblPrEx>
        <w:tc>
          <w:tcPr>
            <w:tcW w:w="772" w:type="dxa"/>
            <w:tcBorders>
              <w:top w:val="single" w:color="auto" w:sz="4" w:space="0"/>
              <w:left w:val="single" w:color="auto" w:sz="4" w:space="0"/>
              <w:bottom w:val="single" w:color="auto" w:sz="4" w:space="0"/>
              <w:right w:val="single" w:color="auto" w:sz="4" w:space="0"/>
            </w:tcBorders>
            <w:noWrap w:val="0"/>
            <w:vAlign w:val="center"/>
          </w:tcPr>
          <w:p w14:paraId="16AD5E1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8065" w:type="dxa"/>
            <w:tcBorders>
              <w:top w:val="single" w:color="auto" w:sz="4" w:space="0"/>
              <w:left w:val="single" w:color="auto" w:sz="4" w:space="0"/>
              <w:bottom w:val="single" w:color="auto" w:sz="4" w:space="0"/>
              <w:right w:val="single" w:color="auto" w:sz="4" w:space="0"/>
            </w:tcBorders>
            <w:noWrap w:val="0"/>
            <w:vAlign w:val="top"/>
          </w:tcPr>
          <w:p w14:paraId="5F44FB0D">
            <w:pPr>
              <w:keepNext w:val="0"/>
              <w:keepLines w:val="0"/>
              <w:suppressLineNumbers w:val="0"/>
              <w:tabs>
                <w:tab w:val="left" w:pos="-1080"/>
                <w:tab w:val="left" w:pos="180"/>
                <w:tab w:val="left" w:pos="1080"/>
              </w:tabs>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人对设备故障修复响应速度并能够有效解决采购人使用需求的进行评分：能够在15分钟内响应、1小时内到达现场、8小时内修复，未能在8小时内修复的，予以更换或提供代用设备的得3分；能够在30分钟内响应、2小时内到达现场、10小时内修复，未能在10小时内修复的，予以更换或提供代用设备的得2分；能够在1小时内响应、3小时内到达现场、12小时内修复，未能在12小时内修复的，予以更换或提供代用设备的得1分。投标人需提供书面承诺函并加盖投标人公章，其它不得分。</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730A66B5">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r w14:paraId="25E94FC4">
        <w:tblPrEx>
          <w:tblCellMar>
            <w:top w:w="0" w:type="dxa"/>
            <w:left w:w="108" w:type="dxa"/>
            <w:bottom w:w="0" w:type="dxa"/>
            <w:right w:w="108" w:type="dxa"/>
          </w:tblCellMar>
        </w:tblPrEx>
        <w:tc>
          <w:tcPr>
            <w:tcW w:w="772" w:type="dxa"/>
            <w:tcBorders>
              <w:top w:val="single" w:color="auto" w:sz="4" w:space="0"/>
              <w:left w:val="single" w:color="auto" w:sz="4" w:space="0"/>
              <w:bottom w:val="single" w:color="auto" w:sz="4" w:space="0"/>
              <w:right w:val="single" w:color="auto" w:sz="4" w:space="0"/>
            </w:tcBorders>
            <w:noWrap w:val="0"/>
            <w:vAlign w:val="center"/>
          </w:tcPr>
          <w:p w14:paraId="2023C8F0">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8065" w:type="dxa"/>
            <w:tcBorders>
              <w:top w:val="single" w:color="auto" w:sz="4" w:space="0"/>
              <w:left w:val="single" w:color="auto" w:sz="4" w:space="0"/>
              <w:bottom w:val="single" w:color="auto" w:sz="4" w:space="0"/>
              <w:right w:val="single" w:color="auto" w:sz="4" w:space="0"/>
            </w:tcBorders>
            <w:noWrap w:val="0"/>
            <w:vAlign w:val="top"/>
          </w:tcPr>
          <w:p w14:paraId="600A22D5">
            <w:pPr>
              <w:keepNext w:val="0"/>
              <w:keepLines w:val="0"/>
              <w:suppressLineNumbers w:val="0"/>
              <w:tabs>
                <w:tab w:val="left" w:pos="720"/>
              </w:tabs>
              <w:spacing w:before="0" w:beforeAutospacing="0" w:after="0" w:afterAutospacing="0" w:line="360" w:lineRule="auto"/>
              <w:ind w:left="0" w:right="18" w:rightChars="0"/>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根据投标人对付款方式的支持情况进行评分:支持在初验合格后90个日历日内支付该批次货款的全款的得3分；支持在初验合格后60个日历日内支付该批次货款的全款的得1分；其余得0分。投标人需提供书面承诺函并加盖投标人公章，否则不得分。若投标人为联合体投标的，联合体中的其中一方盖章即可。</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6CCC349F">
            <w:pPr>
              <w:keepNext w:val="0"/>
              <w:keepLines w:val="0"/>
              <w:suppressLineNumbers w:val="0"/>
              <w:tabs>
                <w:tab w:val="left" w:pos="720"/>
              </w:tabs>
              <w:spacing w:before="0" w:beforeAutospacing="0" w:after="0" w:afterAutospacing="0" w:line="360" w:lineRule="auto"/>
              <w:ind w:left="0" w:right="18" w:rightChars="0"/>
              <w:jc w:val="center"/>
              <w:rPr>
                <w:rFonts w:hint="eastAsia" w:ascii="宋体" w:hAnsi="宋体" w:eastAsia="宋体" w:cs="宋体"/>
                <w:bCs/>
                <w:color w:val="auto"/>
                <w:sz w:val="24"/>
                <w:szCs w:val="24"/>
                <w:highlight w:val="none"/>
              </w:rPr>
            </w:pPr>
            <w:r>
              <w:rPr>
                <w:rFonts w:hint="eastAsia" w:cs="宋体" w:asciiTheme="minorEastAsia" w:hAnsiTheme="minorEastAsia" w:eastAsiaTheme="minorEastAsia"/>
                <w:color w:val="auto"/>
                <w:kern w:val="0"/>
                <w:sz w:val="24"/>
                <w:szCs w:val="24"/>
                <w:highlight w:val="none"/>
              </w:rPr>
              <w:t>3</w:t>
            </w:r>
          </w:p>
        </w:tc>
      </w:tr>
    </w:tbl>
    <w:p w14:paraId="17F5A242">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w:t>
      </w:r>
      <w:r>
        <w:rPr>
          <w:rFonts w:hint="eastAsia" w:ascii="宋体" w:hAnsi="宋体" w:eastAsia="宋体" w:cs="宋体"/>
          <w:color w:val="auto"/>
          <w:sz w:val="24"/>
          <w:szCs w:val="24"/>
          <w:highlight w:val="none"/>
        </w:rPr>
        <w:t>F3)：按</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（基准价/各个通过审核的有效投标人的评标价）计算，由此算出各个通过审核的有效投标人的价格得</w:t>
      </w:r>
      <w:r>
        <w:rPr>
          <w:rFonts w:hint="eastAsia" w:ascii="宋体" w:hAnsi="宋体" w:eastAsia="宋体" w:cs="宋体"/>
          <w:color w:val="auto"/>
          <w:sz w:val="24"/>
          <w:szCs w:val="24"/>
          <w:highlight w:val="none"/>
        </w:rPr>
        <w:t>分。</w:t>
      </w:r>
    </w:p>
    <w:p w14:paraId="5A3EFA3C">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1D58A264">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对其提供的小型或微型企业产品的投标报价给予</w:t>
      </w:r>
      <w:r>
        <w:rPr>
          <w:rFonts w:hint="eastAsia" w:hAnsi="宋体" w:cs="宋体"/>
          <w:color w:val="auto"/>
          <w:sz w:val="24"/>
          <w:szCs w:val="24"/>
          <w:highlight w:val="none"/>
          <w:lang w:val="en-US" w:eastAsia="zh-CN"/>
        </w:rPr>
        <w:t>15</w:t>
      </w:r>
      <w:r>
        <w:rPr>
          <w:rFonts w:hint="eastAsia" w:ascii="宋体" w:hAnsi="宋体" w:eastAsia="宋体" w:cs="宋体"/>
          <w:color w:val="auto"/>
          <w:sz w:val="24"/>
          <w:szCs w:val="24"/>
          <w:highlight w:val="none"/>
        </w:rPr>
        <w:t>%的扣除</w:t>
      </w:r>
      <w:r>
        <w:rPr>
          <w:rFonts w:hint="eastAsia" w:ascii="宋体" w:hAnsi="宋体" w:eastAsia="宋体" w:cs="宋体"/>
          <w:color w:val="auto"/>
          <w:sz w:val="24"/>
          <w:szCs w:val="24"/>
          <w:highlight w:val="none"/>
        </w:rPr>
        <w:t>，扣除后的价格作为该投标人的评标价参与价格评分。</w:t>
      </w:r>
    </w:p>
    <w:p w14:paraId="4DB91B1B">
      <w:pPr>
        <w:pStyle w:val="6"/>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ascii="宋体" w:hAnsi="宋体" w:eastAsia="宋体" w:cs="宋体"/>
          <w:color w:val="auto"/>
          <w:sz w:val="24"/>
          <w:szCs w:val="24"/>
          <w:highlight w:val="none"/>
        </w:rPr>
        <w:t>、采购代理机构应当对联合体或者大中型企业的报价给予</w:t>
      </w:r>
      <w:r>
        <w:rPr>
          <w:rFonts w:hint="eastAsia" w:ascii="宋体" w:hAnsi="宋体" w:eastAsia="宋体" w:cs="宋体"/>
          <w:color w:val="auto"/>
          <w:sz w:val="24"/>
          <w:szCs w:val="24"/>
          <w:highlight w:val="none"/>
        </w:rPr>
        <w:t>6%的扣除</w:t>
      </w:r>
      <w:r>
        <w:rPr>
          <w:rFonts w:hint="eastAsia" w:ascii="宋体" w:hAnsi="宋体" w:eastAsia="宋体" w:cs="宋体"/>
          <w:color w:val="auto"/>
          <w:sz w:val="24"/>
          <w:szCs w:val="24"/>
          <w:highlight w:val="none"/>
        </w:rPr>
        <w:t>，用扣除后的价格参加评审。</w:t>
      </w:r>
    </w:p>
    <w:p w14:paraId="3A921A57">
      <w:pPr>
        <w:pStyle w:val="11"/>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36226AEF">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6BEC3BA4">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w:t>
      </w:r>
      <w:r>
        <w:rPr>
          <w:rFonts w:hint="eastAsia" w:ascii="宋体" w:hAnsi="宋体" w:eastAsia="宋体" w:cs="宋体"/>
          <w:color w:val="auto"/>
          <w:sz w:val="24"/>
          <w:szCs w:val="24"/>
          <w:highlight w:val="none"/>
          <w:lang w:val="en-US" w:eastAsia="zh-CN"/>
        </w:rPr>
        <w:t>10%的扣除</w:t>
      </w:r>
      <w:r>
        <w:rPr>
          <w:rFonts w:hint="eastAsia" w:ascii="宋体" w:hAnsi="宋体" w:eastAsia="宋体" w:cs="宋体"/>
          <w:color w:val="auto"/>
          <w:sz w:val="24"/>
          <w:szCs w:val="24"/>
          <w:highlight w:val="none"/>
          <w:lang w:val="en-US" w:eastAsia="zh-CN"/>
        </w:rPr>
        <w:t>，用扣除后的价格参加评审。采购标的同时包含其它非优先采购产品的，投标人须对优先采购产品和非优先采购产品进行分项报价，非优先采购产品的报价不得享受给予节能产品、环境标志产品的价格扣除优惠。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0D13B5E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6E08907D">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2183146D">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5E4ED0B1">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184A0E20">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604EC7A8">
      <w:pPr>
        <w:pStyle w:val="6"/>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备注：1、技术商务评分中涉及排名情况的评分由评标委员会根据各投标人投标文件的响应情况进行综合评议得出排名。</w:t>
      </w:r>
      <w:r>
        <w:rPr>
          <w:rFonts w:hint="eastAsia" w:ascii="宋体" w:hAnsi="宋体" w:eastAsia="宋体" w:cs="宋体"/>
          <w:color w:val="auto"/>
          <w:sz w:val="24"/>
          <w:szCs w:val="24"/>
          <w:highlight w:val="none"/>
        </w:rPr>
        <w:t>2、业绩作为评分条件的，投标人须提供该业绩项目的中标（成交）公告（提供相关网站中标（成交）公告的下载网页的扫描件及其网址）、中标（成交）通知书扫描件、采购合同文本扫描件，以及能够证明该业绩项目已经</w:t>
      </w:r>
      <w:r>
        <w:rPr>
          <w:rFonts w:hint="eastAsia" w:hAnsi="宋体" w:cs="宋体"/>
          <w:color w:val="auto"/>
          <w:sz w:val="24"/>
          <w:szCs w:val="24"/>
          <w:highlight w:val="none"/>
          <w:lang w:eastAsia="zh-CN"/>
        </w:rPr>
        <w:t>采购单位</w:t>
      </w:r>
      <w:r>
        <w:rPr>
          <w:rFonts w:hint="eastAsia" w:ascii="宋体" w:hAnsi="宋体" w:eastAsia="宋体" w:cs="宋体"/>
          <w:color w:val="auto"/>
          <w:sz w:val="24"/>
          <w:szCs w:val="24"/>
          <w:highlight w:val="none"/>
        </w:rPr>
        <w:t>验收合格的相关证明文件扫描件，原件备查；如未按招标文件要求提供该项业绩完整资料的，评标委员会对该项业绩将不予采信。</w:t>
      </w:r>
    </w:p>
    <w:p w14:paraId="3617D2A3">
      <w:pPr>
        <w:spacing w:line="360" w:lineRule="auto"/>
        <w:ind w:firstLine="1600" w:firstLineChars="5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2"/>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6480"/>
      </w:tblGrid>
      <w:tr w14:paraId="3AFD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5" w:hRule="atLeast"/>
          <w:jc w:val="center"/>
        </w:trPr>
        <w:tc>
          <w:tcPr>
            <w:tcW w:w="900" w:type="dxa"/>
            <w:noWrap w:val="0"/>
            <w:vAlign w:val="center"/>
          </w:tcPr>
          <w:p w14:paraId="003EB8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3F854F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6480" w:type="dxa"/>
            <w:noWrap w:val="0"/>
            <w:vAlign w:val="center"/>
          </w:tcPr>
          <w:p w14:paraId="1ECBDD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379DF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3858FE9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72F3ACE8">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6480" w:type="dxa"/>
            <w:noWrap w:val="0"/>
            <w:vAlign w:val="center"/>
          </w:tcPr>
          <w:p w14:paraId="56298F2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594E5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3DFA34D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14:paraId="644372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6480" w:type="dxa"/>
            <w:noWrap w:val="0"/>
            <w:vAlign w:val="top"/>
          </w:tcPr>
          <w:p w14:paraId="65A7742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705A2E8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3EBDF5A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508F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7" w:hRule="atLeast"/>
          <w:jc w:val="center"/>
        </w:trPr>
        <w:tc>
          <w:tcPr>
            <w:tcW w:w="900" w:type="dxa"/>
            <w:noWrap w:val="0"/>
            <w:vAlign w:val="center"/>
          </w:tcPr>
          <w:p w14:paraId="77DC5BD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14:paraId="2133B034">
            <w:pPr>
              <w:keepNext w:val="0"/>
              <w:keepLines w:val="0"/>
              <w:widowControl/>
              <w:suppressLineNumbers w:val="0"/>
              <w:spacing w:before="0" w:beforeAutospacing="0" w:after="0" w:afterAutospacing="0" w:line="360" w:lineRule="auto"/>
              <w:ind w:left="-65" w:leftChars="-31" w:right="0" w:firstLine="475" w:firstLineChars="205"/>
              <w:jc w:val="left"/>
              <w:rPr>
                <w:rFonts w:hint="default" w:ascii="宋体" w:hAnsi="宋体" w:eastAsia="宋体" w:cs="宋体"/>
                <w:b w:val="0"/>
                <w:color w:val="auto"/>
                <w:spacing w:val="-4"/>
                <w:sz w:val="24"/>
                <w:szCs w:val="24"/>
                <w:highlight w:val="none"/>
              </w:rPr>
            </w:pPr>
            <w:r>
              <w:rPr>
                <w:rFonts w:hint="eastAsia" w:ascii="宋体" w:hAnsi="宋体" w:eastAsia="宋体" w:cs="宋体"/>
                <w:b w:val="0"/>
                <w:color w:val="auto"/>
                <w:spacing w:val="-4"/>
                <w:sz w:val="24"/>
                <w:szCs w:val="24"/>
                <w:highlight w:val="none"/>
              </w:rPr>
              <w:t>优惠办法：</w:t>
            </w:r>
          </w:p>
        </w:tc>
        <w:tc>
          <w:tcPr>
            <w:tcW w:w="6480" w:type="dxa"/>
            <w:tcBorders>
              <w:bottom w:val="single" w:color="auto" w:sz="4" w:space="0"/>
            </w:tcBorders>
            <w:noWrap w:val="0"/>
            <w:vAlign w:val="top"/>
          </w:tcPr>
          <w:p w14:paraId="5653F492">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eastAsia" w:ascii="宋体" w:hAnsi="宋体" w:eastAsia="宋体" w:cs="宋体"/>
                <w:b w:val="0"/>
                <w:color w:val="auto"/>
                <w:spacing w:val="-4"/>
                <w:sz w:val="24"/>
                <w:szCs w:val="24"/>
                <w:highlight w:val="none"/>
              </w:rPr>
              <w:t>投标产品为中小企业（含中型、小型、微型企业，下同）生产：</w:t>
            </w:r>
          </w:p>
          <w:p w14:paraId="7B360A60">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①投标保证金：</w:t>
            </w:r>
            <w:r>
              <w:rPr>
                <w:rFonts w:hint="eastAsia" w:ascii="宋体" w:hAnsi="宋体" w:eastAsia="宋体" w:cs="宋体"/>
                <w:color w:val="auto"/>
                <w:spacing w:val="-4"/>
                <w:sz w:val="24"/>
                <w:szCs w:val="24"/>
                <w:highlight w:val="none"/>
                <w:lang w:val="en-US" w:eastAsia="zh-CN"/>
              </w:rPr>
              <w:t>全免</w:t>
            </w:r>
          </w:p>
          <w:p w14:paraId="29C95D40">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3B995C62">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③代理服务费：按招标文件规定的收费标准下调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64536260">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④</w:t>
            </w:r>
            <w:r>
              <w:rPr>
                <w:rFonts w:hint="eastAsia" w:ascii="宋体" w:hAnsi="宋体" w:cs="宋体"/>
                <w:color w:val="auto"/>
                <w:spacing w:val="-4"/>
                <w:sz w:val="24"/>
                <w:szCs w:val="24"/>
                <w:highlight w:val="none"/>
              </w:rPr>
              <w:t>缩短付款时间</w:t>
            </w:r>
          </w:p>
          <w:p w14:paraId="051A7EAA">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p>
          <w:p w14:paraId="406353A6">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eastAsia" w:ascii="宋体" w:hAnsi="宋体" w:eastAsia="宋体" w:cs="宋体"/>
                <w:b w:val="0"/>
                <w:color w:val="auto"/>
                <w:spacing w:val="-4"/>
                <w:sz w:val="24"/>
                <w:szCs w:val="24"/>
                <w:highlight w:val="none"/>
              </w:rPr>
              <w:t>投标产品为小型企业或微型企业生产：</w:t>
            </w:r>
          </w:p>
          <w:p w14:paraId="1E4A42B0">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投标人提供的货物既有中型企业制造，也有小微企业制造的，不享受办法规定的小微企业扶持政策。</w:t>
            </w:r>
          </w:p>
          <w:p w14:paraId="4CB4F454">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default" w:ascii="宋体" w:hAnsi="宋体" w:eastAsia="宋体" w:cs="宋体"/>
                <w:b w:val="0"/>
                <w:color w:val="auto"/>
                <w:spacing w:val="-4"/>
                <w:sz w:val="24"/>
                <w:szCs w:val="24"/>
                <w:highlight w:val="none"/>
              </w:rPr>
              <w:t>对其提供的小型或微型企业产品的投标报价给予</w:t>
            </w:r>
            <w:r>
              <w:rPr>
                <w:rFonts w:hint="eastAsia" w:ascii="宋体" w:hAnsi="宋体" w:cs="宋体"/>
                <w:b w:val="0"/>
                <w:color w:val="auto"/>
                <w:spacing w:val="-4"/>
                <w:sz w:val="24"/>
                <w:szCs w:val="24"/>
                <w:highlight w:val="none"/>
                <w:lang w:val="en-US" w:eastAsia="zh-CN"/>
              </w:rPr>
              <w:t>15</w:t>
            </w:r>
            <w:r>
              <w:rPr>
                <w:rFonts w:hint="default" w:ascii="宋体" w:hAnsi="宋体" w:eastAsia="宋体" w:cs="宋体"/>
                <w:b w:val="0"/>
                <w:color w:val="auto"/>
                <w:spacing w:val="-4"/>
                <w:sz w:val="24"/>
                <w:szCs w:val="24"/>
                <w:highlight w:val="none"/>
              </w:rPr>
              <w:t>%</w:t>
            </w:r>
            <w:r>
              <w:rPr>
                <w:rFonts w:hint="default" w:ascii="宋体" w:hAnsi="宋体" w:eastAsia="宋体" w:cs="宋体"/>
                <w:b w:val="0"/>
                <w:color w:val="auto"/>
                <w:spacing w:val="-4"/>
                <w:sz w:val="24"/>
                <w:szCs w:val="24"/>
                <w:highlight w:val="none"/>
              </w:rPr>
              <w:t>的扣除，扣除后的价格作为该投标人的评标价参与价格评分。</w:t>
            </w:r>
          </w:p>
          <w:p w14:paraId="3E96215E">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default" w:ascii="宋体" w:hAnsi="宋体" w:eastAsia="宋体" w:cs="宋体"/>
                <w:b w:val="0"/>
                <w:color w:val="auto"/>
                <w:spacing w:val="-4"/>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采购单位、采购代理机构应当对联合体或者大中型企业的报价给予</w:t>
            </w:r>
            <w:r>
              <w:rPr>
                <w:rFonts w:hint="default" w:ascii="宋体" w:hAnsi="宋体" w:eastAsia="宋体" w:cs="宋体"/>
                <w:b w:val="0"/>
                <w:color w:val="auto"/>
                <w:spacing w:val="-4"/>
                <w:sz w:val="24"/>
                <w:szCs w:val="24"/>
                <w:highlight w:val="none"/>
              </w:rPr>
              <w:t>6%的扣除</w:t>
            </w:r>
            <w:r>
              <w:rPr>
                <w:rFonts w:hint="default" w:ascii="宋体" w:hAnsi="宋体" w:eastAsia="宋体" w:cs="宋体"/>
                <w:b w:val="0"/>
                <w:color w:val="auto"/>
                <w:spacing w:val="-4"/>
                <w:sz w:val="24"/>
                <w:szCs w:val="24"/>
                <w:highlight w:val="none"/>
              </w:rPr>
              <w:t>，用扣除后的价格参加评审。</w:t>
            </w:r>
          </w:p>
          <w:p w14:paraId="277E94D7">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default" w:ascii="宋体" w:hAnsi="宋体" w:eastAsia="宋体" w:cs="宋体"/>
                <w:b w:val="0"/>
                <w:color w:val="auto"/>
                <w:spacing w:val="-4"/>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335B8EF9">
            <w:pPr>
              <w:keepNext w:val="0"/>
              <w:keepLines w:val="0"/>
              <w:suppressLineNumbers w:val="0"/>
              <w:spacing w:before="0" w:beforeAutospacing="0" w:after="0" w:afterAutospacing="0" w:line="360" w:lineRule="auto"/>
              <w:ind w:left="-65" w:leftChars="-31" w:right="0" w:firstLine="475" w:firstLineChars="205"/>
              <w:rPr>
                <w:rFonts w:hint="default" w:ascii="宋体" w:hAnsi="宋体" w:eastAsia="宋体" w:cs="宋体"/>
                <w:b w:val="0"/>
                <w:color w:val="auto"/>
                <w:spacing w:val="-4"/>
                <w:sz w:val="24"/>
                <w:szCs w:val="24"/>
                <w:highlight w:val="none"/>
              </w:rPr>
            </w:pPr>
            <w:r>
              <w:rPr>
                <w:rFonts w:hint="default" w:ascii="宋体" w:hAnsi="宋体" w:eastAsia="宋体" w:cs="宋体"/>
                <w:b w:val="0"/>
                <w:color w:val="auto"/>
                <w:spacing w:val="-4"/>
                <w:sz w:val="24"/>
                <w:szCs w:val="24"/>
                <w:highlight w:val="none"/>
              </w:rPr>
              <w:t>若本项目属于预留份额专门面向中小企业采购活动，不再执行价格评审优惠的扶持政策。</w:t>
            </w:r>
          </w:p>
          <w:p w14:paraId="263F0B26">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p>
        </w:tc>
      </w:tr>
      <w:tr w14:paraId="35CA7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2F8BD09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14:paraId="3C1C7D76">
            <w:pPr>
              <w:pStyle w:val="10"/>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本项目对应的中小企业划分标准所属</w:t>
            </w:r>
            <w:r>
              <w:rPr>
                <w:rFonts w:hint="eastAsia" w:ascii="宋体" w:hAnsi="宋体" w:eastAsia="宋体" w:cs="宋体"/>
                <w:color w:val="auto"/>
                <w:sz w:val="24"/>
                <w:szCs w:val="24"/>
                <w:highlight w:val="none"/>
                <w:u w:val="single"/>
              </w:rPr>
              <w:t xml:space="preserve"> 工业 行业。</w:t>
            </w:r>
          </w:p>
        </w:tc>
        <w:tc>
          <w:tcPr>
            <w:tcW w:w="6480" w:type="dxa"/>
            <w:tcBorders>
              <w:bottom w:val="single" w:color="auto" w:sz="4" w:space="0"/>
            </w:tcBorders>
            <w:noWrap w:val="0"/>
            <w:vAlign w:val="top"/>
          </w:tcPr>
          <w:p w14:paraId="599C2729">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08BFA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5741D83F">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25988DA8">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6480" w:type="dxa"/>
            <w:tcBorders>
              <w:bottom w:val="single" w:color="auto" w:sz="4" w:space="0"/>
            </w:tcBorders>
            <w:noWrap w:val="0"/>
            <w:vAlign w:val="top"/>
          </w:tcPr>
          <w:p w14:paraId="5F18F2BE">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41CE744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2D382B2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77662BC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4B5CD0EE">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73A6454E">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46DACE3A">
      <w:pPr>
        <w:spacing w:line="360" w:lineRule="auto"/>
        <w:ind w:firstLine="482" w:firstLineChars="200"/>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175216D0">
      <w:pPr>
        <w:pStyle w:val="3"/>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264D681B">
      <w:pPr>
        <w:pStyle w:val="7"/>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46D292F1">
      <w:pPr>
        <w:pStyle w:val="7"/>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49B4169A">
      <w:pPr>
        <w:pStyle w:val="7"/>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76EEA4B1">
      <w:pPr>
        <w:pStyle w:val="7"/>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32FC536B">
      <w:pPr>
        <w:pStyle w:val="7"/>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2D854989">
      <w:pPr>
        <w:pStyle w:val="7"/>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（5）本项目实行网上发售招标文件的方式，招标文件的正式文本以厦门招投标网上下载的内容为准。</w:t>
      </w:r>
    </w:p>
    <w:p w14:paraId="636C2B70">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（6）资格性证明文件请单独成册。</w:t>
      </w:r>
    </w:p>
    <w:p w14:paraId="41049C7B">
      <w:pPr>
        <w:tabs>
          <w:tab w:val="left" w:pos="5130"/>
        </w:tabs>
        <w:spacing w:line="360" w:lineRule="auto"/>
        <w:ind w:firstLine="480" w:firstLineChars="200"/>
        <w:rPr>
          <w:rFonts w:hint="eastAsia" w:ascii="宋体" w:hAnsi="宋体" w:eastAsia="宋体" w:cs="宋体"/>
          <w:color w:val="auto"/>
          <w:sz w:val="24"/>
          <w:szCs w:val="24"/>
          <w:highlight w:val="none"/>
        </w:rPr>
      </w:pPr>
    </w:p>
    <w:p w14:paraId="68C541CE">
      <w:pPr>
        <w:tabs>
          <w:tab w:val="left" w:pos="5130"/>
        </w:tabs>
        <w:spacing w:line="360" w:lineRule="auto"/>
        <w:ind w:firstLine="480" w:firstLineChars="200"/>
        <w:rPr>
          <w:rFonts w:hint="eastAsia" w:ascii="宋体" w:hAnsi="宋体" w:eastAsia="宋体" w:cs="宋体"/>
          <w:color w:val="auto"/>
          <w:sz w:val="24"/>
          <w:szCs w:val="24"/>
          <w:highlight w:val="none"/>
        </w:rPr>
      </w:pPr>
    </w:p>
    <w:p w14:paraId="45052C39">
      <w:pPr>
        <w:tabs>
          <w:tab w:val="left" w:pos="5130"/>
        </w:tabs>
        <w:spacing w:line="360" w:lineRule="auto"/>
        <w:ind w:firstLine="480" w:firstLineChars="200"/>
        <w:rPr>
          <w:rFonts w:hint="eastAsia" w:ascii="宋体" w:hAnsi="宋体" w:eastAsia="宋体" w:cs="宋体"/>
          <w:color w:val="auto"/>
          <w:sz w:val="24"/>
          <w:szCs w:val="24"/>
          <w:highlight w:val="none"/>
        </w:rPr>
      </w:pPr>
    </w:p>
    <w:p w14:paraId="72CECD88">
      <w:pPr>
        <w:tabs>
          <w:tab w:val="left" w:pos="5130"/>
        </w:tabs>
        <w:spacing w:line="360" w:lineRule="auto"/>
        <w:ind w:firstLine="480" w:firstLineChars="200"/>
        <w:rPr>
          <w:rFonts w:hint="eastAsia" w:ascii="宋体" w:hAnsi="宋体" w:eastAsia="宋体" w:cs="宋体"/>
          <w:color w:val="auto"/>
          <w:sz w:val="24"/>
          <w:szCs w:val="24"/>
          <w:highlight w:val="none"/>
        </w:rPr>
      </w:pPr>
    </w:p>
    <w:p w14:paraId="0D4D225F">
      <w:pPr>
        <w:tabs>
          <w:tab w:val="left" w:pos="5130"/>
        </w:tabs>
        <w:spacing w:line="360" w:lineRule="auto"/>
        <w:ind w:firstLine="480" w:firstLineChars="200"/>
        <w:rPr>
          <w:rFonts w:hint="eastAsia" w:ascii="宋体" w:hAnsi="宋体" w:eastAsia="宋体" w:cs="宋体"/>
          <w:color w:val="auto"/>
          <w:sz w:val="24"/>
          <w:szCs w:val="24"/>
          <w:highlight w:val="none"/>
        </w:rPr>
      </w:pPr>
    </w:p>
    <w:p w14:paraId="4F25BB91">
      <w:pPr>
        <w:tabs>
          <w:tab w:val="left" w:pos="5130"/>
        </w:tabs>
        <w:spacing w:line="360" w:lineRule="auto"/>
        <w:ind w:firstLine="480" w:firstLineChars="200"/>
        <w:rPr>
          <w:rFonts w:hint="eastAsia" w:ascii="宋体" w:hAnsi="宋体" w:eastAsia="宋体" w:cs="宋体"/>
          <w:color w:val="auto"/>
          <w:sz w:val="24"/>
          <w:szCs w:val="24"/>
          <w:highlight w:val="none"/>
        </w:rPr>
      </w:pPr>
    </w:p>
    <w:p w14:paraId="008EA329">
      <w:pPr>
        <w:tabs>
          <w:tab w:val="left" w:pos="5130"/>
        </w:tabs>
        <w:spacing w:line="360" w:lineRule="auto"/>
        <w:ind w:firstLine="480" w:firstLineChars="200"/>
        <w:rPr>
          <w:rFonts w:hint="eastAsia" w:ascii="宋体" w:hAnsi="宋体" w:eastAsia="宋体" w:cs="宋体"/>
          <w:color w:val="auto"/>
          <w:sz w:val="24"/>
          <w:szCs w:val="24"/>
          <w:highlight w:val="none"/>
        </w:rPr>
      </w:pPr>
    </w:p>
    <w:p w14:paraId="1CB48506">
      <w:pPr>
        <w:tabs>
          <w:tab w:val="left" w:pos="5130"/>
        </w:tabs>
        <w:spacing w:line="360" w:lineRule="auto"/>
        <w:ind w:firstLine="480" w:firstLineChars="200"/>
        <w:rPr>
          <w:rFonts w:hint="eastAsia" w:ascii="宋体" w:hAnsi="宋体" w:eastAsia="宋体" w:cs="宋体"/>
          <w:color w:val="auto"/>
          <w:sz w:val="24"/>
          <w:szCs w:val="24"/>
          <w:highlight w:val="none"/>
        </w:rPr>
      </w:pPr>
    </w:p>
    <w:p w14:paraId="281E07ED">
      <w:pPr>
        <w:tabs>
          <w:tab w:val="left" w:pos="5130"/>
        </w:tabs>
        <w:spacing w:line="360" w:lineRule="auto"/>
        <w:ind w:firstLine="480" w:firstLineChars="200"/>
        <w:rPr>
          <w:rFonts w:hint="eastAsia" w:ascii="宋体" w:hAnsi="宋体" w:eastAsia="宋体" w:cs="宋体"/>
          <w:color w:val="auto"/>
          <w:sz w:val="24"/>
          <w:szCs w:val="24"/>
          <w:highlight w:val="none"/>
        </w:rPr>
      </w:pPr>
    </w:p>
    <w:p w14:paraId="7BD0F5ED">
      <w:pPr>
        <w:tabs>
          <w:tab w:val="left" w:pos="5130"/>
        </w:tabs>
        <w:spacing w:line="360" w:lineRule="auto"/>
        <w:ind w:firstLine="480" w:firstLineChars="200"/>
        <w:rPr>
          <w:rFonts w:hint="eastAsia" w:ascii="宋体" w:hAnsi="宋体" w:eastAsia="宋体" w:cs="宋体"/>
          <w:color w:val="auto"/>
          <w:sz w:val="24"/>
          <w:szCs w:val="24"/>
          <w:highlight w:val="none"/>
        </w:rPr>
      </w:pPr>
    </w:p>
    <w:p w14:paraId="545115A1">
      <w:pPr>
        <w:tabs>
          <w:tab w:val="left" w:pos="5130"/>
        </w:tabs>
        <w:spacing w:line="360" w:lineRule="auto"/>
        <w:ind w:firstLine="480" w:firstLineChars="200"/>
        <w:rPr>
          <w:rFonts w:hint="eastAsia" w:ascii="宋体" w:hAnsi="宋体" w:eastAsia="宋体" w:cs="宋体"/>
          <w:color w:val="auto"/>
          <w:sz w:val="24"/>
          <w:szCs w:val="24"/>
          <w:highlight w:val="none"/>
        </w:rPr>
      </w:pPr>
    </w:p>
    <w:p w14:paraId="17547712">
      <w:pPr>
        <w:tabs>
          <w:tab w:val="left" w:pos="5130"/>
        </w:tabs>
        <w:spacing w:line="360" w:lineRule="auto"/>
        <w:ind w:firstLine="480" w:firstLineChars="200"/>
        <w:rPr>
          <w:rFonts w:hint="eastAsia" w:ascii="宋体" w:hAnsi="宋体" w:eastAsia="宋体" w:cs="宋体"/>
          <w:color w:val="auto"/>
          <w:sz w:val="24"/>
          <w:szCs w:val="24"/>
          <w:highlight w:val="none"/>
        </w:rPr>
      </w:pPr>
    </w:p>
    <w:p w14:paraId="26D7A251">
      <w:pPr>
        <w:tabs>
          <w:tab w:val="left" w:pos="5130"/>
        </w:tabs>
        <w:spacing w:line="360" w:lineRule="auto"/>
        <w:ind w:firstLine="480" w:firstLineChars="200"/>
        <w:rPr>
          <w:rFonts w:hint="eastAsia" w:ascii="宋体" w:hAnsi="宋体" w:eastAsia="宋体" w:cs="宋体"/>
          <w:color w:val="auto"/>
          <w:sz w:val="24"/>
          <w:szCs w:val="24"/>
          <w:highlight w:val="none"/>
        </w:rPr>
      </w:pPr>
    </w:p>
    <w:p w14:paraId="7D664C9C">
      <w:pPr>
        <w:tabs>
          <w:tab w:val="left" w:pos="5130"/>
        </w:tabs>
        <w:spacing w:line="360" w:lineRule="auto"/>
        <w:ind w:firstLine="480" w:firstLineChars="200"/>
        <w:rPr>
          <w:rFonts w:hint="eastAsia" w:ascii="宋体" w:hAnsi="宋体" w:eastAsia="宋体" w:cs="宋体"/>
          <w:color w:val="auto"/>
          <w:sz w:val="24"/>
          <w:szCs w:val="24"/>
          <w:highlight w:val="none"/>
        </w:rPr>
      </w:pPr>
    </w:p>
    <w:p w14:paraId="1E7FDCE9">
      <w:pPr>
        <w:tabs>
          <w:tab w:val="left" w:pos="5130"/>
        </w:tabs>
        <w:spacing w:line="360" w:lineRule="auto"/>
        <w:ind w:firstLine="480" w:firstLineChars="200"/>
        <w:rPr>
          <w:rFonts w:hint="eastAsia" w:ascii="宋体" w:hAnsi="宋体" w:eastAsia="宋体" w:cs="宋体"/>
          <w:color w:val="auto"/>
          <w:sz w:val="24"/>
          <w:szCs w:val="24"/>
          <w:highlight w:val="none"/>
        </w:rPr>
      </w:pPr>
    </w:p>
    <w:p w14:paraId="7BB74FE1">
      <w:pPr>
        <w:tabs>
          <w:tab w:val="left" w:pos="5130"/>
        </w:tabs>
        <w:spacing w:line="360" w:lineRule="auto"/>
        <w:ind w:firstLine="480" w:firstLineChars="200"/>
        <w:rPr>
          <w:rFonts w:hint="eastAsia" w:ascii="宋体" w:hAnsi="宋体" w:eastAsia="宋体" w:cs="宋体"/>
          <w:color w:val="auto"/>
          <w:sz w:val="24"/>
          <w:szCs w:val="24"/>
          <w:highlight w:val="none"/>
        </w:rPr>
      </w:pPr>
    </w:p>
    <w:p w14:paraId="16899E7B">
      <w:pPr>
        <w:tabs>
          <w:tab w:val="left" w:pos="5130"/>
        </w:tabs>
        <w:spacing w:line="360" w:lineRule="auto"/>
        <w:ind w:firstLine="480" w:firstLineChars="200"/>
        <w:rPr>
          <w:rFonts w:hint="eastAsia" w:ascii="宋体" w:hAnsi="宋体" w:eastAsia="宋体" w:cs="宋体"/>
          <w:color w:val="auto"/>
          <w:sz w:val="24"/>
          <w:szCs w:val="24"/>
          <w:highlight w:val="none"/>
        </w:rPr>
      </w:pPr>
    </w:p>
    <w:p w14:paraId="7D6714BC">
      <w:pPr>
        <w:tabs>
          <w:tab w:val="left" w:pos="5130"/>
        </w:tabs>
        <w:spacing w:line="360" w:lineRule="auto"/>
        <w:ind w:firstLine="480" w:firstLineChars="200"/>
        <w:rPr>
          <w:rFonts w:hint="eastAsia" w:ascii="宋体" w:hAnsi="宋体" w:eastAsia="宋体" w:cs="宋体"/>
          <w:color w:val="auto"/>
          <w:sz w:val="24"/>
          <w:szCs w:val="24"/>
          <w:highlight w:val="none"/>
        </w:rPr>
      </w:pPr>
    </w:p>
    <w:p w14:paraId="51F4765F">
      <w:pPr>
        <w:tabs>
          <w:tab w:val="left" w:pos="5130"/>
        </w:tabs>
        <w:spacing w:line="360" w:lineRule="auto"/>
        <w:ind w:firstLine="480" w:firstLineChars="200"/>
        <w:rPr>
          <w:rFonts w:hint="eastAsia" w:ascii="宋体" w:hAnsi="宋体" w:eastAsia="宋体" w:cs="宋体"/>
          <w:color w:val="auto"/>
          <w:sz w:val="24"/>
          <w:szCs w:val="24"/>
          <w:highlight w:val="none"/>
        </w:rPr>
      </w:pPr>
    </w:p>
    <w:p w14:paraId="676F8B37">
      <w:pPr>
        <w:tabs>
          <w:tab w:val="left" w:pos="5130"/>
        </w:tabs>
        <w:spacing w:line="360" w:lineRule="auto"/>
        <w:ind w:firstLine="482"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一、采购货物一览表</w:t>
      </w:r>
    </w:p>
    <w:tbl>
      <w:tblPr>
        <w:tblStyle w:val="12"/>
        <w:tblW w:w="9580" w:type="dxa"/>
        <w:jc w:val="center"/>
        <w:tblLayout w:type="autofit"/>
        <w:tblCellMar>
          <w:top w:w="0" w:type="dxa"/>
          <w:left w:w="108" w:type="dxa"/>
          <w:bottom w:w="0" w:type="dxa"/>
          <w:right w:w="108" w:type="dxa"/>
        </w:tblCellMar>
      </w:tblPr>
      <w:tblGrid>
        <w:gridCol w:w="1668"/>
        <w:gridCol w:w="2225"/>
        <w:gridCol w:w="1956"/>
        <w:gridCol w:w="1955"/>
        <w:gridCol w:w="1776"/>
      </w:tblGrid>
      <w:tr w14:paraId="54237FCA">
        <w:tblPrEx>
          <w:tblCellMar>
            <w:top w:w="0" w:type="dxa"/>
            <w:left w:w="108" w:type="dxa"/>
            <w:bottom w:w="0" w:type="dxa"/>
            <w:right w:w="108" w:type="dxa"/>
          </w:tblCellMar>
        </w:tblPrEx>
        <w:trPr>
          <w:trHeight w:val="870" w:hRule="atLeast"/>
          <w:jc w:val="center"/>
        </w:trPr>
        <w:tc>
          <w:tcPr>
            <w:tcW w:w="1668"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1B3E1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品目号</w:t>
            </w:r>
          </w:p>
        </w:tc>
        <w:tc>
          <w:tcPr>
            <w:tcW w:w="2225" w:type="dxa"/>
            <w:tcBorders>
              <w:top w:val="single" w:color="000000" w:sz="8" w:space="0"/>
              <w:left w:val="nil"/>
              <w:bottom w:val="single" w:color="000000" w:sz="8" w:space="0"/>
              <w:right w:val="single" w:color="000000" w:sz="8" w:space="0"/>
            </w:tcBorders>
            <w:shd w:val="clear" w:color="auto" w:fill="auto"/>
            <w:vAlign w:val="center"/>
          </w:tcPr>
          <w:p w14:paraId="683C389C">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货物名称</w:t>
            </w:r>
          </w:p>
        </w:tc>
        <w:tc>
          <w:tcPr>
            <w:tcW w:w="1956" w:type="dxa"/>
            <w:tcBorders>
              <w:top w:val="single" w:color="000000" w:sz="8" w:space="0"/>
              <w:left w:val="nil"/>
              <w:bottom w:val="single" w:color="000000" w:sz="8" w:space="0"/>
              <w:right w:val="single" w:color="000000" w:sz="8" w:space="0"/>
            </w:tcBorders>
            <w:shd w:val="clear" w:color="auto" w:fill="auto"/>
            <w:vAlign w:val="center"/>
          </w:tcPr>
          <w:p w14:paraId="2994E47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单台限价（元）</w:t>
            </w:r>
          </w:p>
        </w:tc>
        <w:tc>
          <w:tcPr>
            <w:tcW w:w="1955" w:type="dxa"/>
            <w:tcBorders>
              <w:top w:val="single" w:color="000000" w:sz="8" w:space="0"/>
              <w:left w:val="nil"/>
              <w:bottom w:val="single" w:color="000000" w:sz="8" w:space="0"/>
              <w:right w:val="single" w:color="000000" w:sz="8" w:space="0"/>
            </w:tcBorders>
            <w:shd w:val="clear" w:color="auto" w:fill="auto"/>
            <w:vAlign w:val="center"/>
          </w:tcPr>
          <w:p w14:paraId="031667C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采购数量（台）</w:t>
            </w:r>
          </w:p>
        </w:tc>
        <w:tc>
          <w:tcPr>
            <w:tcW w:w="1776" w:type="dxa"/>
            <w:tcBorders>
              <w:top w:val="single" w:color="000000" w:sz="8" w:space="0"/>
              <w:left w:val="nil"/>
              <w:bottom w:val="single" w:color="000000" w:sz="8" w:space="0"/>
              <w:right w:val="single" w:color="000000" w:sz="8" w:space="0"/>
            </w:tcBorders>
            <w:shd w:val="clear" w:color="auto" w:fill="auto"/>
            <w:vAlign w:val="center"/>
          </w:tcPr>
          <w:p w14:paraId="171DDDC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bCs/>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预算总额（元）</w:t>
            </w:r>
          </w:p>
        </w:tc>
      </w:tr>
      <w:tr w14:paraId="22967756">
        <w:tblPrEx>
          <w:tblCellMar>
            <w:top w:w="0" w:type="dxa"/>
            <w:left w:w="108" w:type="dxa"/>
            <w:bottom w:w="0" w:type="dxa"/>
            <w:right w:w="108" w:type="dxa"/>
          </w:tblCellMar>
        </w:tblPrEx>
        <w:trPr>
          <w:trHeight w:val="450" w:hRule="atLeast"/>
          <w:jc w:val="center"/>
        </w:trPr>
        <w:tc>
          <w:tcPr>
            <w:tcW w:w="1668" w:type="dxa"/>
            <w:tcBorders>
              <w:top w:val="nil"/>
              <w:left w:val="single" w:color="000000" w:sz="8" w:space="0"/>
              <w:bottom w:val="single" w:color="000000" w:sz="8" w:space="0"/>
              <w:right w:val="single" w:color="000000" w:sz="8" w:space="0"/>
            </w:tcBorders>
            <w:shd w:val="clear" w:color="auto" w:fill="auto"/>
            <w:vAlign w:val="center"/>
          </w:tcPr>
          <w:p w14:paraId="5152BBC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bookmarkStart w:id="0" w:name="_Hlk197674563"/>
            <w:r>
              <w:rPr>
                <w:rFonts w:hint="eastAsia" w:cs="宋体" w:asciiTheme="minorEastAsia" w:hAnsiTheme="minorEastAsia" w:eastAsiaTheme="minorEastAsia"/>
                <w:color w:val="auto"/>
                <w:kern w:val="0"/>
                <w:sz w:val="24"/>
                <w:szCs w:val="24"/>
                <w:highlight w:val="none"/>
              </w:rPr>
              <w:t>1-1</w:t>
            </w:r>
          </w:p>
        </w:tc>
        <w:tc>
          <w:tcPr>
            <w:tcW w:w="2225" w:type="dxa"/>
            <w:tcBorders>
              <w:top w:val="nil"/>
              <w:left w:val="nil"/>
              <w:bottom w:val="single" w:color="000000" w:sz="8" w:space="0"/>
              <w:right w:val="single" w:color="000000" w:sz="8" w:space="0"/>
            </w:tcBorders>
            <w:shd w:val="clear" w:color="auto" w:fill="auto"/>
            <w:vAlign w:val="center"/>
          </w:tcPr>
          <w:p w14:paraId="47110B38">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粒状碎纸机</w:t>
            </w:r>
          </w:p>
        </w:tc>
        <w:tc>
          <w:tcPr>
            <w:tcW w:w="1956" w:type="dxa"/>
            <w:tcBorders>
              <w:top w:val="nil"/>
              <w:left w:val="nil"/>
              <w:bottom w:val="single" w:color="000000" w:sz="8" w:space="0"/>
              <w:right w:val="single" w:color="000000" w:sz="8" w:space="0"/>
            </w:tcBorders>
            <w:shd w:val="clear" w:color="auto" w:fill="auto"/>
            <w:vAlign w:val="center"/>
          </w:tcPr>
          <w:p w14:paraId="566127BD">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450.00</w:t>
            </w:r>
          </w:p>
        </w:tc>
        <w:tc>
          <w:tcPr>
            <w:tcW w:w="1955" w:type="dxa"/>
            <w:tcBorders>
              <w:top w:val="nil"/>
              <w:left w:val="nil"/>
              <w:bottom w:val="single" w:color="000000" w:sz="8" w:space="0"/>
              <w:right w:val="single" w:color="000000" w:sz="8" w:space="0"/>
            </w:tcBorders>
            <w:shd w:val="clear" w:color="auto" w:fill="auto"/>
            <w:vAlign w:val="center"/>
          </w:tcPr>
          <w:p w14:paraId="4FE7AEF4">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200</w:t>
            </w:r>
          </w:p>
        </w:tc>
        <w:tc>
          <w:tcPr>
            <w:tcW w:w="1776" w:type="dxa"/>
            <w:tcBorders>
              <w:top w:val="nil"/>
              <w:left w:val="nil"/>
              <w:bottom w:val="single" w:color="000000" w:sz="8" w:space="0"/>
              <w:right w:val="single" w:color="000000" w:sz="8" w:space="0"/>
            </w:tcBorders>
            <w:shd w:val="clear" w:color="auto" w:fill="auto"/>
            <w:vAlign w:val="center"/>
          </w:tcPr>
          <w:p w14:paraId="3509AB84">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90000.00</w:t>
            </w:r>
          </w:p>
        </w:tc>
      </w:tr>
      <w:tr w14:paraId="318EB3B5">
        <w:tblPrEx>
          <w:tblCellMar>
            <w:top w:w="0" w:type="dxa"/>
            <w:left w:w="108" w:type="dxa"/>
            <w:bottom w:w="0" w:type="dxa"/>
            <w:right w:w="108" w:type="dxa"/>
          </w:tblCellMar>
        </w:tblPrEx>
        <w:trPr>
          <w:trHeight w:val="450" w:hRule="atLeast"/>
          <w:jc w:val="center"/>
        </w:trPr>
        <w:tc>
          <w:tcPr>
            <w:tcW w:w="1668" w:type="dxa"/>
            <w:tcBorders>
              <w:top w:val="nil"/>
              <w:left w:val="single" w:color="000000" w:sz="8" w:space="0"/>
              <w:bottom w:val="single" w:color="000000" w:sz="8" w:space="0"/>
              <w:right w:val="single" w:color="000000" w:sz="8" w:space="0"/>
            </w:tcBorders>
            <w:shd w:val="clear" w:color="auto" w:fill="auto"/>
            <w:vAlign w:val="center"/>
          </w:tcPr>
          <w:p w14:paraId="33341492">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1-2</w:t>
            </w:r>
          </w:p>
        </w:tc>
        <w:tc>
          <w:tcPr>
            <w:tcW w:w="2225" w:type="dxa"/>
            <w:tcBorders>
              <w:top w:val="nil"/>
              <w:left w:val="nil"/>
              <w:bottom w:val="single" w:color="000000" w:sz="8" w:space="0"/>
              <w:right w:val="single" w:color="000000" w:sz="8" w:space="0"/>
            </w:tcBorders>
            <w:shd w:val="clear" w:color="auto" w:fill="auto"/>
            <w:vAlign w:val="center"/>
          </w:tcPr>
          <w:p w14:paraId="09C826BD">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粒状碎纸机</w:t>
            </w:r>
          </w:p>
        </w:tc>
        <w:tc>
          <w:tcPr>
            <w:tcW w:w="1956" w:type="dxa"/>
            <w:tcBorders>
              <w:top w:val="nil"/>
              <w:left w:val="nil"/>
              <w:bottom w:val="single" w:color="000000" w:sz="8" w:space="0"/>
              <w:right w:val="single" w:color="000000" w:sz="8" w:space="0"/>
            </w:tcBorders>
            <w:shd w:val="clear" w:color="auto" w:fill="auto"/>
            <w:vAlign w:val="center"/>
          </w:tcPr>
          <w:p w14:paraId="1A7C7842">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800.00</w:t>
            </w:r>
          </w:p>
        </w:tc>
        <w:tc>
          <w:tcPr>
            <w:tcW w:w="1955" w:type="dxa"/>
            <w:tcBorders>
              <w:top w:val="nil"/>
              <w:left w:val="nil"/>
              <w:bottom w:val="single" w:color="000000" w:sz="8" w:space="0"/>
              <w:right w:val="single" w:color="000000" w:sz="8" w:space="0"/>
            </w:tcBorders>
            <w:shd w:val="clear" w:color="auto" w:fill="auto"/>
            <w:vAlign w:val="center"/>
          </w:tcPr>
          <w:p w14:paraId="0AB05E02">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600</w:t>
            </w:r>
          </w:p>
        </w:tc>
        <w:tc>
          <w:tcPr>
            <w:tcW w:w="1776" w:type="dxa"/>
            <w:tcBorders>
              <w:top w:val="nil"/>
              <w:left w:val="nil"/>
              <w:bottom w:val="single" w:color="000000" w:sz="8" w:space="0"/>
              <w:right w:val="single" w:color="000000" w:sz="8" w:space="0"/>
            </w:tcBorders>
            <w:shd w:val="clear" w:color="auto" w:fill="auto"/>
            <w:vAlign w:val="center"/>
          </w:tcPr>
          <w:p w14:paraId="33A4D3ED">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480000.00</w:t>
            </w:r>
          </w:p>
        </w:tc>
      </w:tr>
      <w:tr w14:paraId="7E3752AC">
        <w:tblPrEx>
          <w:tblCellMar>
            <w:top w:w="0" w:type="dxa"/>
            <w:left w:w="108" w:type="dxa"/>
            <w:bottom w:w="0" w:type="dxa"/>
            <w:right w:w="108" w:type="dxa"/>
          </w:tblCellMar>
        </w:tblPrEx>
        <w:trPr>
          <w:trHeight w:val="450" w:hRule="atLeast"/>
          <w:jc w:val="center"/>
        </w:trPr>
        <w:tc>
          <w:tcPr>
            <w:tcW w:w="1668" w:type="dxa"/>
            <w:tcBorders>
              <w:top w:val="nil"/>
              <w:left w:val="single" w:color="000000" w:sz="8" w:space="0"/>
              <w:bottom w:val="single" w:color="000000" w:sz="8" w:space="0"/>
              <w:right w:val="single" w:color="000000" w:sz="8" w:space="0"/>
            </w:tcBorders>
            <w:shd w:val="clear" w:color="auto" w:fill="auto"/>
            <w:vAlign w:val="center"/>
          </w:tcPr>
          <w:p w14:paraId="6928670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1-3</w:t>
            </w:r>
          </w:p>
        </w:tc>
        <w:tc>
          <w:tcPr>
            <w:tcW w:w="2225" w:type="dxa"/>
            <w:tcBorders>
              <w:top w:val="nil"/>
              <w:left w:val="nil"/>
              <w:bottom w:val="single" w:color="000000" w:sz="8" w:space="0"/>
              <w:right w:val="single" w:color="000000" w:sz="8" w:space="0"/>
            </w:tcBorders>
            <w:shd w:val="clear" w:color="auto" w:fill="auto"/>
            <w:vAlign w:val="center"/>
          </w:tcPr>
          <w:p w14:paraId="7F877CF0">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段状碎纸机</w:t>
            </w:r>
          </w:p>
        </w:tc>
        <w:tc>
          <w:tcPr>
            <w:tcW w:w="1956" w:type="dxa"/>
            <w:tcBorders>
              <w:top w:val="nil"/>
              <w:left w:val="nil"/>
              <w:bottom w:val="single" w:color="000000" w:sz="8" w:space="0"/>
              <w:right w:val="single" w:color="000000" w:sz="8" w:space="0"/>
            </w:tcBorders>
            <w:shd w:val="clear" w:color="auto" w:fill="auto"/>
            <w:vAlign w:val="center"/>
          </w:tcPr>
          <w:p w14:paraId="727470A2">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600.00</w:t>
            </w:r>
          </w:p>
        </w:tc>
        <w:tc>
          <w:tcPr>
            <w:tcW w:w="1955" w:type="dxa"/>
            <w:tcBorders>
              <w:top w:val="nil"/>
              <w:left w:val="nil"/>
              <w:bottom w:val="single" w:color="000000" w:sz="8" w:space="0"/>
              <w:right w:val="single" w:color="000000" w:sz="8" w:space="0"/>
            </w:tcBorders>
            <w:shd w:val="clear" w:color="auto" w:fill="auto"/>
            <w:vAlign w:val="center"/>
          </w:tcPr>
          <w:p w14:paraId="0DF5128F">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2500</w:t>
            </w:r>
          </w:p>
        </w:tc>
        <w:tc>
          <w:tcPr>
            <w:tcW w:w="1776" w:type="dxa"/>
            <w:tcBorders>
              <w:top w:val="nil"/>
              <w:left w:val="nil"/>
              <w:bottom w:val="single" w:color="000000" w:sz="8" w:space="0"/>
              <w:right w:val="single" w:color="000000" w:sz="8" w:space="0"/>
            </w:tcBorders>
            <w:shd w:val="clear" w:color="auto" w:fill="auto"/>
            <w:vAlign w:val="center"/>
          </w:tcPr>
          <w:p w14:paraId="07C6A09A">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1500000.00</w:t>
            </w:r>
          </w:p>
        </w:tc>
      </w:tr>
      <w:tr w14:paraId="0B42EF41">
        <w:tblPrEx>
          <w:tblCellMar>
            <w:top w:w="0" w:type="dxa"/>
            <w:left w:w="108" w:type="dxa"/>
            <w:bottom w:w="0" w:type="dxa"/>
            <w:right w:w="108" w:type="dxa"/>
          </w:tblCellMar>
        </w:tblPrEx>
        <w:trPr>
          <w:trHeight w:val="450" w:hRule="atLeast"/>
          <w:jc w:val="center"/>
        </w:trPr>
        <w:tc>
          <w:tcPr>
            <w:tcW w:w="1668" w:type="dxa"/>
            <w:tcBorders>
              <w:top w:val="nil"/>
              <w:left w:val="single" w:color="000000" w:sz="8" w:space="0"/>
              <w:bottom w:val="single" w:color="000000" w:sz="8" w:space="0"/>
              <w:right w:val="single" w:color="000000" w:sz="8" w:space="0"/>
            </w:tcBorders>
            <w:shd w:val="clear" w:color="auto" w:fill="auto"/>
            <w:vAlign w:val="center"/>
          </w:tcPr>
          <w:p w14:paraId="781D7871">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1-4</w:t>
            </w:r>
          </w:p>
        </w:tc>
        <w:tc>
          <w:tcPr>
            <w:tcW w:w="2225" w:type="dxa"/>
            <w:tcBorders>
              <w:top w:val="nil"/>
              <w:left w:val="nil"/>
              <w:bottom w:val="single" w:color="000000" w:sz="8" w:space="0"/>
              <w:right w:val="single" w:color="000000" w:sz="8" w:space="0"/>
            </w:tcBorders>
            <w:shd w:val="clear" w:color="auto" w:fill="auto"/>
            <w:vAlign w:val="center"/>
          </w:tcPr>
          <w:p w14:paraId="2DDF6330">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粒状碎纸机</w:t>
            </w:r>
          </w:p>
        </w:tc>
        <w:tc>
          <w:tcPr>
            <w:tcW w:w="1956" w:type="dxa"/>
            <w:tcBorders>
              <w:top w:val="nil"/>
              <w:left w:val="nil"/>
              <w:bottom w:val="single" w:color="000000" w:sz="8" w:space="0"/>
              <w:right w:val="single" w:color="000000" w:sz="8" w:space="0"/>
            </w:tcBorders>
            <w:shd w:val="clear" w:color="auto" w:fill="auto"/>
            <w:vAlign w:val="center"/>
          </w:tcPr>
          <w:p w14:paraId="3A55594A">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550.00</w:t>
            </w:r>
          </w:p>
        </w:tc>
        <w:tc>
          <w:tcPr>
            <w:tcW w:w="1955" w:type="dxa"/>
            <w:tcBorders>
              <w:top w:val="nil"/>
              <w:left w:val="nil"/>
              <w:bottom w:val="single" w:color="000000" w:sz="8" w:space="0"/>
              <w:right w:val="single" w:color="000000" w:sz="8" w:space="0"/>
            </w:tcBorders>
            <w:shd w:val="clear" w:color="auto" w:fill="auto"/>
            <w:vAlign w:val="center"/>
          </w:tcPr>
          <w:p w14:paraId="65993C64">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200</w:t>
            </w:r>
          </w:p>
        </w:tc>
        <w:tc>
          <w:tcPr>
            <w:tcW w:w="1776" w:type="dxa"/>
            <w:tcBorders>
              <w:top w:val="nil"/>
              <w:left w:val="nil"/>
              <w:bottom w:val="single" w:color="000000" w:sz="8" w:space="0"/>
              <w:right w:val="single" w:color="000000" w:sz="8" w:space="0"/>
            </w:tcBorders>
            <w:shd w:val="clear" w:color="auto" w:fill="auto"/>
            <w:vAlign w:val="center"/>
          </w:tcPr>
          <w:p w14:paraId="51B58E80">
            <w:pPr>
              <w:keepNext w:val="0"/>
              <w:keepLines w:val="0"/>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110000.00</w:t>
            </w:r>
          </w:p>
        </w:tc>
      </w:tr>
      <w:bookmarkEnd w:id="0"/>
      <w:tr w14:paraId="4EF57D43">
        <w:tblPrEx>
          <w:tblCellMar>
            <w:top w:w="0" w:type="dxa"/>
            <w:left w:w="108" w:type="dxa"/>
            <w:bottom w:w="0" w:type="dxa"/>
            <w:right w:w="108" w:type="dxa"/>
          </w:tblCellMar>
        </w:tblPrEx>
        <w:trPr>
          <w:trHeight w:val="390" w:hRule="atLeast"/>
          <w:jc w:val="center"/>
        </w:trPr>
        <w:tc>
          <w:tcPr>
            <w:tcW w:w="389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D3E8C3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color w:val="auto"/>
                <w:kern w:val="0"/>
                <w:sz w:val="24"/>
                <w:szCs w:val="24"/>
                <w:highlight w:val="none"/>
              </w:rPr>
              <w:t>合计</w:t>
            </w:r>
          </w:p>
        </w:tc>
        <w:tc>
          <w:tcPr>
            <w:tcW w:w="1956" w:type="dxa"/>
            <w:tcBorders>
              <w:top w:val="nil"/>
              <w:left w:val="nil"/>
              <w:bottom w:val="single" w:color="000000" w:sz="8" w:space="0"/>
              <w:right w:val="single" w:color="000000" w:sz="8" w:space="0"/>
            </w:tcBorders>
            <w:shd w:val="clear" w:color="auto" w:fill="auto"/>
            <w:vAlign w:val="center"/>
          </w:tcPr>
          <w:p w14:paraId="00E7050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color w:val="auto"/>
                <w:kern w:val="0"/>
                <w:sz w:val="24"/>
                <w:szCs w:val="24"/>
                <w:highlight w:val="none"/>
              </w:rPr>
            </w:pPr>
          </w:p>
        </w:tc>
        <w:tc>
          <w:tcPr>
            <w:tcW w:w="1955" w:type="dxa"/>
            <w:tcBorders>
              <w:top w:val="nil"/>
              <w:left w:val="nil"/>
              <w:bottom w:val="single" w:color="000000" w:sz="8" w:space="0"/>
              <w:right w:val="single" w:color="000000" w:sz="8" w:space="0"/>
            </w:tcBorders>
            <w:shd w:val="clear" w:color="auto" w:fill="auto"/>
            <w:vAlign w:val="center"/>
          </w:tcPr>
          <w:p w14:paraId="389BCDF4">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3500</w:t>
            </w:r>
          </w:p>
        </w:tc>
        <w:tc>
          <w:tcPr>
            <w:tcW w:w="1776" w:type="dxa"/>
            <w:tcBorders>
              <w:top w:val="nil"/>
              <w:left w:val="nil"/>
              <w:bottom w:val="single" w:color="000000" w:sz="8" w:space="0"/>
              <w:right w:val="single" w:color="000000" w:sz="8" w:space="0"/>
            </w:tcBorders>
            <w:shd w:val="clear" w:color="auto" w:fill="auto"/>
            <w:vAlign w:val="center"/>
          </w:tcPr>
          <w:p w14:paraId="3CFB0ED1">
            <w:pPr>
              <w:keepNext w:val="0"/>
              <w:keepLines w:val="0"/>
              <w:widowControl/>
              <w:suppressLineNumbers w:val="0"/>
              <w:spacing w:before="0" w:beforeAutospacing="0" w:after="0" w:afterAutospacing="0" w:line="360" w:lineRule="auto"/>
              <w:ind w:left="0" w:right="0"/>
              <w:jc w:val="center"/>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2180000.00</w:t>
            </w:r>
          </w:p>
        </w:tc>
      </w:tr>
    </w:tbl>
    <w:p w14:paraId="0F234C40">
      <w:pPr>
        <w:tabs>
          <w:tab w:val="left" w:pos="5130"/>
        </w:tabs>
        <w:spacing w:line="360" w:lineRule="auto"/>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采购周期：24个月。</w:t>
      </w:r>
    </w:p>
    <w:p w14:paraId="2907E8EC">
      <w:pPr>
        <w:tabs>
          <w:tab w:val="left" w:pos="5130"/>
        </w:tabs>
        <w:spacing w:line="360" w:lineRule="auto"/>
        <w:ind w:firstLine="482"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二、主要技术参数及要求</w:t>
      </w:r>
    </w:p>
    <w:tbl>
      <w:tblPr>
        <w:tblStyle w:val="12"/>
        <w:tblW w:w="0" w:type="auto"/>
        <w:jc w:val="center"/>
        <w:tblLayout w:type="autofit"/>
        <w:tblCellMar>
          <w:top w:w="0" w:type="dxa"/>
          <w:left w:w="108" w:type="dxa"/>
          <w:bottom w:w="0" w:type="dxa"/>
          <w:right w:w="108" w:type="dxa"/>
        </w:tblCellMar>
      </w:tblPr>
      <w:tblGrid>
        <w:gridCol w:w="777"/>
        <w:gridCol w:w="837"/>
        <w:gridCol w:w="8523"/>
      </w:tblGrid>
      <w:tr w14:paraId="4A61CC43">
        <w:tblPrEx>
          <w:tblCellMar>
            <w:top w:w="0" w:type="dxa"/>
            <w:left w:w="108" w:type="dxa"/>
            <w:bottom w:w="0" w:type="dxa"/>
            <w:right w:w="108" w:type="dxa"/>
          </w:tblCellMar>
        </w:tblPrEx>
        <w:trPr>
          <w:trHeight w:val="270" w:hRule="atLeast"/>
          <w:jc w:val="center"/>
        </w:trPr>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43F01">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b/>
                <w:bCs/>
                <w:color w:val="auto"/>
                <w:sz w:val="24"/>
                <w:szCs w:val="24"/>
                <w:highlight w:val="none"/>
              </w:rPr>
            </w:pPr>
            <w:r>
              <w:rPr>
                <w:rFonts w:hint="eastAsia" w:cs="仿宋" w:asciiTheme="minorEastAsia" w:hAnsiTheme="minorEastAsia" w:eastAsiaTheme="minorEastAsia"/>
                <w:b/>
                <w:bCs/>
                <w:color w:val="auto"/>
                <w:kern w:val="0"/>
                <w:sz w:val="24"/>
                <w:szCs w:val="24"/>
                <w:highlight w:val="none"/>
              </w:rPr>
              <w:t>序号</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43728">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b/>
                <w:bCs/>
                <w:color w:val="auto"/>
                <w:sz w:val="24"/>
                <w:szCs w:val="24"/>
                <w:highlight w:val="none"/>
              </w:rPr>
            </w:pPr>
            <w:r>
              <w:rPr>
                <w:rFonts w:hint="eastAsia" w:cs="仿宋" w:asciiTheme="minorEastAsia" w:hAnsiTheme="minorEastAsia" w:eastAsiaTheme="minorEastAsia"/>
                <w:b/>
                <w:bCs/>
                <w:color w:val="auto"/>
                <w:kern w:val="0"/>
                <w:sz w:val="24"/>
                <w:szCs w:val="24"/>
                <w:highlight w:val="none"/>
              </w:rPr>
              <w:t>碎纸效果</w:t>
            </w:r>
          </w:p>
        </w:tc>
        <w:tc>
          <w:tcPr>
            <w:tcW w:w="8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DFB1C">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b/>
                <w:bCs/>
                <w:color w:val="auto"/>
                <w:sz w:val="24"/>
                <w:szCs w:val="24"/>
                <w:highlight w:val="none"/>
              </w:rPr>
            </w:pPr>
            <w:r>
              <w:rPr>
                <w:rFonts w:hint="eastAsia" w:cs="仿宋" w:asciiTheme="minorEastAsia" w:hAnsiTheme="minorEastAsia" w:eastAsiaTheme="minorEastAsia"/>
                <w:b/>
                <w:bCs/>
                <w:color w:val="auto"/>
                <w:kern w:val="0"/>
                <w:sz w:val="24"/>
                <w:szCs w:val="24"/>
                <w:highlight w:val="none"/>
              </w:rPr>
              <w:t>参数要求</w:t>
            </w:r>
          </w:p>
        </w:tc>
      </w:tr>
      <w:tr w14:paraId="45A0E81C">
        <w:tblPrEx>
          <w:tblCellMar>
            <w:top w:w="0" w:type="dxa"/>
            <w:left w:w="108" w:type="dxa"/>
            <w:bottom w:w="0" w:type="dxa"/>
            <w:right w:w="108" w:type="dxa"/>
          </w:tblCellMar>
        </w:tblPrEx>
        <w:trPr>
          <w:trHeight w:val="713" w:hRule="atLeast"/>
          <w:jc w:val="center"/>
        </w:trPr>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B3A6B7">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kern w:val="0"/>
                <w:sz w:val="24"/>
                <w:szCs w:val="24"/>
                <w:highlight w:val="none"/>
              </w:rPr>
              <w:t>1-1</w:t>
            </w: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68858F">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kern w:val="0"/>
                <w:sz w:val="24"/>
                <w:szCs w:val="24"/>
                <w:highlight w:val="none"/>
              </w:rPr>
              <w:t>粒状</w:t>
            </w:r>
          </w:p>
        </w:tc>
        <w:tc>
          <w:tcPr>
            <w:tcW w:w="8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9D6AA">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*碎纸宽度≥220mm；碎纸效果≤2*6mm；碎纸能力≥6张（A4-70g）；碎纸箱容量≥16L；连续碎纸时间/工作时间≥10分钟；碎纸速度≥2m/min；具备过热保护、超载自动退纸功能</w:t>
            </w:r>
          </w:p>
        </w:tc>
      </w:tr>
      <w:tr w14:paraId="4605EE2B">
        <w:tblPrEx>
          <w:tblCellMar>
            <w:top w:w="0" w:type="dxa"/>
            <w:left w:w="108" w:type="dxa"/>
            <w:bottom w:w="0" w:type="dxa"/>
            <w:right w:w="108" w:type="dxa"/>
          </w:tblCellMar>
        </w:tblPrEx>
        <w:trPr>
          <w:trHeight w:val="90" w:hRule="atLeast"/>
          <w:jc w:val="center"/>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327F94">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90DAE">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D6CE">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bookmarkStart w:id="1" w:name="OLE_LINK28"/>
            <w:bookmarkStart w:id="2" w:name="OLE_LINK29"/>
            <w:r>
              <w:rPr>
                <w:rFonts w:hint="eastAsia" w:cs="宋体" w:asciiTheme="minorEastAsia" w:hAnsiTheme="minorEastAsia" w:eastAsiaTheme="minorEastAsia"/>
                <w:b/>
                <w:color w:val="auto"/>
                <w:kern w:val="0"/>
                <w:sz w:val="24"/>
                <w:szCs w:val="24"/>
                <w:highlight w:val="none"/>
              </w:rPr>
              <w:t>*所投产品为所投品牌官网在售产品</w:t>
            </w:r>
            <w:bookmarkEnd w:id="1"/>
            <w:bookmarkEnd w:id="2"/>
          </w:p>
        </w:tc>
      </w:tr>
      <w:tr w14:paraId="74BEAAE1">
        <w:tblPrEx>
          <w:tblCellMar>
            <w:top w:w="0" w:type="dxa"/>
            <w:left w:w="108" w:type="dxa"/>
            <w:bottom w:w="0" w:type="dxa"/>
            <w:right w:w="108" w:type="dxa"/>
          </w:tblCellMar>
        </w:tblPrEx>
        <w:trPr>
          <w:trHeight w:val="1168" w:hRule="atLeast"/>
          <w:jc w:val="center"/>
        </w:trPr>
        <w:tc>
          <w:tcPr>
            <w:tcW w:w="788" w:type="dxa"/>
            <w:vMerge w:val="restart"/>
            <w:tcBorders>
              <w:top w:val="single" w:color="000000" w:sz="4" w:space="0"/>
              <w:left w:val="single" w:color="000000" w:sz="4" w:space="0"/>
              <w:right w:val="single" w:color="000000" w:sz="4" w:space="0"/>
            </w:tcBorders>
            <w:shd w:val="clear" w:color="auto" w:fill="auto"/>
            <w:vAlign w:val="center"/>
          </w:tcPr>
          <w:p w14:paraId="2AEF22B2">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kern w:val="0"/>
                <w:sz w:val="24"/>
                <w:szCs w:val="24"/>
                <w:highlight w:val="none"/>
              </w:rPr>
              <w:t>1-2</w:t>
            </w:r>
          </w:p>
        </w:tc>
        <w:tc>
          <w:tcPr>
            <w:tcW w:w="858" w:type="dxa"/>
            <w:vMerge w:val="restart"/>
            <w:tcBorders>
              <w:top w:val="single" w:color="000000" w:sz="4" w:space="0"/>
              <w:left w:val="single" w:color="000000" w:sz="4" w:space="0"/>
              <w:right w:val="single" w:color="000000" w:sz="4" w:space="0"/>
            </w:tcBorders>
            <w:shd w:val="clear" w:color="auto" w:fill="auto"/>
            <w:vAlign w:val="center"/>
          </w:tcPr>
          <w:p w14:paraId="24E5F7AE">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bookmarkStart w:id="3" w:name="OLE_LINK27"/>
            <w:r>
              <w:rPr>
                <w:rFonts w:hint="eastAsia" w:cs="宋体" w:asciiTheme="minorEastAsia" w:hAnsiTheme="minorEastAsia" w:eastAsiaTheme="minorEastAsia"/>
                <w:color w:val="auto"/>
                <w:kern w:val="0"/>
                <w:sz w:val="24"/>
                <w:szCs w:val="24"/>
                <w:highlight w:val="none"/>
              </w:rPr>
              <w:t>粒状</w:t>
            </w:r>
            <w:bookmarkEnd w:id="3"/>
          </w:p>
        </w:tc>
        <w:tc>
          <w:tcPr>
            <w:tcW w:w="8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461C8">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*碎纸宽度≥220mm；碎纸效果≤2*12mm；碎纸能力≥8张（A4-70g）；碎纸箱容量≥20L；连续碎纸时间/工作时间≥20分钟；碎纸速度≥2m/min；</w:t>
            </w:r>
            <w:r>
              <w:rPr>
                <w:rFonts w:hint="eastAsia" w:cs="宋体" w:asciiTheme="minorEastAsia" w:hAnsiTheme="minorEastAsia" w:eastAsiaTheme="minorEastAsia"/>
                <w:b/>
                <w:color w:val="auto"/>
                <w:kern w:val="0"/>
                <w:sz w:val="24"/>
                <w:szCs w:val="24"/>
                <w:highlight w:val="none"/>
              </w:rPr>
              <w:t>符合国家保密标准BMB21-2019《涉及国家秘密的载体销毁与信息消除安全保密要求》中纸介质二级销毁技术要求，(需提供证书扫描件）</w:t>
            </w:r>
            <w:r>
              <w:rPr>
                <w:rFonts w:hint="eastAsia" w:cs="宋体" w:asciiTheme="minorEastAsia" w:hAnsiTheme="minorEastAsia" w:eastAsiaTheme="minorEastAsia"/>
                <w:b/>
                <w:color w:val="auto"/>
                <w:kern w:val="0"/>
                <w:sz w:val="24"/>
                <w:szCs w:val="24"/>
                <w:highlight w:val="none"/>
              </w:rPr>
              <w:t>；具备过热保护、超载自动退纸功能</w:t>
            </w:r>
          </w:p>
        </w:tc>
      </w:tr>
      <w:tr w14:paraId="381E0C48">
        <w:tblPrEx>
          <w:tblCellMar>
            <w:top w:w="0" w:type="dxa"/>
            <w:left w:w="108" w:type="dxa"/>
            <w:bottom w:w="0" w:type="dxa"/>
            <w:right w:w="108" w:type="dxa"/>
          </w:tblCellMar>
        </w:tblPrEx>
        <w:trPr>
          <w:trHeight w:val="270" w:hRule="atLeast"/>
          <w:jc w:val="center"/>
        </w:trPr>
        <w:tc>
          <w:tcPr>
            <w:tcW w:w="788" w:type="dxa"/>
            <w:vMerge w:val="continue"/>
            <w:tcBorders>
              <w:left w:val="single" w:color="000000" w:sz="4" w:space="0"/>
              <w:right w:val="single" w:color="000000" w:sz="4" w:space="0"/>
            </w:tcBorders>
            <w:shd w:val="clear" w:color="auto" w:fill="auto"/>
            <w:vAlign w:val="center"/>
          </w:tcPr>
          <w:p w14:paraId="664F174F">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58" w:type="dxa"/>
            <w:vMerge w:val="continue"/>
            <w:tcBorders>
              <w:left w:val="single" w:color="000000" w:sz="4" w:space="0"/>
              <w:right w:val="single" w:color="000000" w:sz="4" w:space="0"/>
            </w:tcBorders>
            <w:shd w:val="clear" w:color="auto" w:fill="auto"/>
            <w:vAlign w:val="center"/>
          </w:tcPr>
          <w:p w14:paraId="33058811">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B0EE4">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*所投产品为所投品牌官网在售产品</w:t>
            </w:r>
          </w:p>
        </w:tc>
      </w:tr>
      <w:tr w14:paraId="714D6BC4">
        <w:tblPrEx>
          <w:tblCellMar>
            <w:top w:w="0" w:type="dxa"/>
            <w:left w:w="108" w:type="dxa"/>
            <w:bottom w:w="0" w:type="dxa"/>
            <w:right w:w="108" w:type="dxa"/>
          </w:tblCellMar>
        </w:tblPrEx>
        <w:trPr>
          <w:trHeight w:val="749" w:hRule="atLeast"/>
          <w:jc w:val="center"/>
        </w:trPr>
        <w:tc>
          <w:tcPr>
            <w:tcW w:w="788" w:type="dxa"/>
            <w:vMerge w:val="restart"/>
            <w:tcBorders>
              <w:top w:val="single" w:color="000000" w:sz="4" w:space="0"/>
              <w:left w:val="single" w:color="000000" w:sz="4" w:space="0"/>
              <w:right w:val="single" w:color="000000" w:sz="4" w:space="0"/>
            </w:tcBorders>
            <w:shd w:val="clear" w:color="auto" w:fill="auto"/>
            <w:vAlign w:val="center"/>
          </w:tcPr>
          <w:p w14:paraId="35245DA2">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kern w:val="0"/>
                <w:sz w:val="24"/>
                <w:szCs w:val="24"/>
                <w:highlight w:val="none"/>
              </w:rPr>
              <w:t>1-3</w:t>
            </w:r>
          </w:p>
        </w:tc>
        <w:tc>
          <w:tcPr>
            <w:tcW w:w="858" w:type="dxa"/>
            <w:vMerge w:val="restart"/>
            <w:tcBorders>
              <w:top w:val="single" w:color="000000" w:sz="4" w:space="0"/>
              <w:left w:val="single" w:color="000000" w:sz="4" w:space="0"/>
              <w:right w:val="single" w:color="000000" w:sz="4" w:space="0"/>
            </w:tcBorders>
            <w:shd w:val="clear" w:color="auto" w:fill="auto"/>
            <w:vAlign w:val="center"/>
          </w:tcPr>
          <w:p w14:paraId="5692CE57">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kern w:val="0"/>
                <w:sz w:val="24"/>
                <w:szCs w:val="24"/>
                <w:highlight w:val="none"/>
              </w:rPr>
              <w:t>段状</w:t>
            </w:r>
          </w:p>
        </w:tc>
        <w:tc>
          <w:tcPr>
            <w:tcW w:w="8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C5F4C">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*碎纸宽度≥220mm；碎纸效果≤4*40mm；碎纸能力≥15张（A4-70g）；碎纸箱容量≥23L；连续碎纸时间/工作时间≥60分钟；碎纸速度≥2m/min；可碎光盘、银行卡、书钉；具备过热保护、超载自动退纸功能</w:t>
            </w:r>
          </w:p>
        </w:tc>
      </w:tr>
      <w:tr w14:paraId="6E9D6B59">
        <w:tblPrEx>
          <w:tblCellMar>
            <w:top w:w="0" w:type="dxa"/>
            <w:left w:w="108" w:type="dxa"/>
            <w:bottom w:w="0" w:type="dxa"/>
            <w:right w:w="108" w:type="dxa"/>
          </w:tblCellMar>
        </w:tblPrEx>
        <w:trPr>
          <w:trHeight w:val="270" w:hRule="atLeast"/>
          <w:jc w:val="center"/>
        </w:trPr>
        <w:tc>
          <w:tcPr>
            <w:tcW w:w="788" w:type="dxa"/>
            <w:vMerge w:val="continue"/>
            <w:tcBorders>
              <w:left w:val="single" w:color="000000" w:sz="4" w:space="0"/>
              <w:right w:val="single" w:color="000000" w:sz="4" w:space="0"/>
            </w:tcBorders>
            <w:shd w:val="clear" w:color="auto" w:fill="auto"/>
            <w:vAlign w:val="center"/>
          </w:tcPr>
          <w:p w14:paraId="4815A595">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58" w:type="dxa"/>
            <w:vMerge w:val="continue"/>
            <w:tcBorders>
              <w:left w:val="single" w:color="000000" w:sz="4" w:space="0"/>
              <w:right w:val="single" w:color="000000" w:sz="4" w:space="0"/>
            </w:tcBorders>
            <w:shd w:val="clear" w:color="auto" w:fill="auto"/>
            <w:vAlign w:val="center"/>
          </w:tcPr>
          <w:p w14:paraId="2BD311C5">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03194">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*所投产品为所投品牌官网在售产品</w:t>
            </w:r>
          </w:p>
        </w:tc>
      </w:tr>
      <w:tr w14:paraId="47A28CDB">
        <w:tblPrEx>
          <w:tblCellMar>
            <w:top w:w="0" w:type="dxa"/>
            <w:left w:w="108" w:type="dxa"/>
            <w:bottom w:w="0" w:type="dxa"/>
            <w:right w:w="108" w:type="dxa"/>
          </w:tblCellMar>
        </w:tblPrEx>
        <w:trPr>
          <w:trHeight w:val="90" w:hRule="atLeast"/>
          <w:jc w:val="center"/>
        </w:trPr>
        <w:tc>
          <w:tcPr>
            <w:tcW w:w="788" w:type="dxa"/>
            <w:vMerge w:val="restart"/>
            <w:tcBorders>
              <w:top w:val="single" w:color="000000" w:sz="4" w:space="0"/>
              <w:left w:val="single" w:color="000000" w:sz="4" w:space="0"/>
              <w:right w:val="single" w:color="000000" w:sz="4" w:space="0"/>
            </w:tcBorders>
            <w:shd w:val="clear" w:color="auto" w:fill="auto"/>
            <w:vAlign w:val="center"/>
          </w:tcPr>
          <w:p w14:paraId="19C26B72">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kern w:val="0"/>
                <w:sz w:val="24"/>
                <w:szCs w:val="24"/>
                <w:highlight w:val="none"/>
              </w:rPr>
              <w:t>1-4</w:t>
            </w:r>
          </w:p>
        </w:tc>
        <w:tc>
          <w:tcPr>
            <w:tcW w:w="858" w:type="dxa"/>
            <w:vMerge w:val="restart"/>
            <w:tcBorders>
              <w:top w:val="single" w:color="000000" w:sz="4" w:space="0"/>
              <w:left w:val="single" w:color="000000" w:sz="4" w:space="0"/>
              <w:right w:val="single" w:color="000000" w:sz="4" w:space="0"/>
            </w:tcBorders>
            <w:shd w:val="clear" w:color="auto" w:fill="auto"/>
            <w:vAlign w:val="center"/>
          </w:tcPr>
          <w:p w14:paraId="1A168772">
            <w:pPr>
              <w:keepNext w:val="0"/>
              <w:keepLines w:val="0"/>
              <w:widowControl/>
              <w:suppressLineNumbers w:val="0"/>
              <w:spacing w:before="0" w:beforeAutospacing="0" w:after="0" w:afterAutospacing="0" w:line="360" w:lineRule="auto"/>
              <w:ind w:left="0" w:right="0"/>
              <w:jc w:val="center"/>
              <w:textAlignment w:val="center"/>
              <w:rPr>
                <w:rFonts w:hint="eastAsia" w:cs="仿宋"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kern w:val="0"/>
                <w:sz w:val="24"/>
                <w:szCs w:val="24"/>
                <w:highlight w:val="none"/>
              </w:rPr>
              <w:t>粒状</w:t>
            </w:r>
          </w:p>
        </w:tc>
        <w:tc>
          <w:tcPr>
            <w:tcW w:w="8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D8A0C">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*碎纸宽度≥220mm；碎纸效果≤2*12mm；单次碎纸能力≥8张（A4-70g）；碎纸箱容量≥20L；连续碎纸时间/工作时间≥20分钟；碎纸速度≥2m/min；可碎光盘、银行卡、书钉；具备过热保护、超载自动退纸功能</w:t>
            </w:r>
          </w:p>
        </w:tc>
      </w:tr>
      <w:tr w14:paraId="2750792C">
        <w:tblPrEx>
          <w:tblCellMar>
            <w:top w:w="0" w:type="dxa"/>
            <w:left w:w="108" w:type="dxa"/>
            <w:bottom w:w="0" w:type="dxa"/>
            <w:right w:w="108" w:type="dxa"/>
          </w:tblCellMar>
        </w:tblPrEx>
        <w:trPr>
          <w:trHeight w:val="152" w:hRule="atLeast"/>
          <w:jc w:val="center"/>
        </w:trPr>
        <w:tc>
          <w:tcPr>
            <w:tcW w:w="788" w:type="dxa"/>
            <w:vMerge w:val="continue"/>
            <w:tcBorders>
              <w:left w:val="single" w:color="000000" w:sz="4" w:space="0"/>
              <w:right w:val="single" w:color="000000" w:sz="4" w:space="0"/>
            </w:tcBorders>
            <w:shd w:val="clear" w:color="auto" w:fill="auto"/>
            <w:vAlign w:val="center"/>
          </w:tcPr>
          <w:p w14:paraId="4B6CCA25">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58" w:type="dxa"/>
            <w:vMerge w:val="continue"/>
            <w:tcBorders>
              <w:left w:val="single" w:color="000000" w:sz="4" w:space="0"/>
              <w:right w:val="single" w:color="000000" w:sz="4" w:space="0"/>
            </w:tcBorders>
            <w:shd w:val="clear" w:color="auto" w:fill="auto"/>
            <w:vAlign w:val="center"/>
          </w:tcPr>
          <w:p w14:paraId="0DC0AC9B">
            <w:pPr>
              <w:keepNext w:val="0"/>
              <w:keepLines w:val="0"/>
              <w:suppressLineNumbers w:val="0"/>
              <w:spacing w:before="0" w:beforeAutospacing="0" w:after="0" w:afterAutospacing="0" w:line="360" w:lineRule="auto"/>
              <w:ind w:left="0" w:right="0"/>
              <w:jc w:val="center"/>
              <w:rPr>
                <w:rFonts w:hint="eastAsia" w:cs="仿宋" w:asciiTheme="minorEastAsia" w:hAnsiTheme="minorEastAsia" w:eastAsiaTheme="minorEastAsia"/>
                <w:color w:val="auto"/>
                <w:sz w:val="24"/>
                <w:szCs w:val="24"/>
                <w:highlight w:val="none"/>
              </w:rPr>
            </w:pPr>
          </w:p>
        </w:tc>
        <w:tc>
          <w:tcPr>
            <w:tcW w:w="88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F813C">
            <w:pPr>
              <w:keepNext w:val="0"/>
              <w:keepLines w:val="0"/>
              <w:widowControl/>
              <w:suppressLineNumbers w:val="0"/>
              <w:spacing w:before="0" w:beforeAutospacing="0" w:after="0" w:afterAutospacing="0" w:line="360" w:lineRule="auto"/>
              <w:ind w:left="0" w:right="0"/>
              <w:jc w:val="left"/>
              <w:textAlignment w:val="center"/>
              <w:rPr>
                <w:rFonts w:hint="eastAsia" w:cs="仿宋"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*所投产品为所投品牌官网在售产品</w:t>
            </w:r>
          </w:p>
        </w:tc>
      </w:tr>
    </w:tbl>
    <w:p w14:paraId="570F5E0F">
      <w:pPr>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备注：*1、投标人投标的碎纸机产品必须为同一品牌产品，否则将导致投标无效。</w:t>
      </w:r>
    </w:p>
    <w:p w14:paraId="63B32E9E">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2、投标人投标的产品必须在京东、苏宁易购、国美在线、天猫等四家电商网上购物平台中（品牌官方旗舰店内自营商品）的至少任意一个平台常规在售的同一品牌及同一规格型号产品。投标人应在投标文件提供相关证明材料并加盖投标人公章，诸如电商网上购物平台网页截图等。</w:t>
      </w:r>
    </w:p>
    <w:p w14:paraId="31F2CD8A">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*3、针对“招标货物及参数设置”中带星号（“*”）的技术条款，投标人必须在投标文件中提供产品彩页或说明书或产品详细参数说明或国家权威检测机构出具的检测报告</w:t>
      </w:r>
      <w:r>
        <w:rPr>
          <w:rFonts w:asciiTheme="minorEastAsia" w:hAnsiTheme="minorEastAsia" w:eastAsiaTheme="minorEastAsia"/>
          <w:b/>
          <w:color w:val="auto"/>
          <w:sz w:val="24"/>
          <w:szCs w:val="24"/>
          <w:highlight w:val="none"/>
        </w:rPr>
        <w:t>扫描件予以证明（加盖投标人公章，以上证明文件若出现参数不一致情况下，投标人须自行承担不利评审后果）。</w:t>
      </w:r>
    </w:p>
    <w:p w14:paraId="177C3DF5">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4、投标人须在投标文件中作出明确承诺：采购单位可调整各规格产品的实际供货数量；采购单位有权向厦门市政府机关事业单位和福建省内其他终端用户进行供货（以上统称最终用户）进行供货。投标人须提供相应的安装及售后服务保障，所需费用(包括福建省内各地市市区内安装及售后服务费用)均包含在投标总价中。各地市市区外的安装及售后服务费用采购单位给予补贴，具体市区分布见表一，投标人承诺并提供书面承诺函（格式自拟），合同期内采购单位可增加或者减少各型号的采购数量，仍按不高于中标价格执行。</w:t>
      </w:r>
    </w:p>
    <w:p w14:paraId="71E04122">
      <w:pPr>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表一：各地市区分布</w:t>
      </w:r>
    </w:p>
    <w:tbl>
      <w:tblPr>
        <w:tblStyle w:val="12"/>
        <w:tblW w:w="0" w:type="auto"/>
        <w:jc w:val="center"/>
        <w:tblLayout w:type="fixed"/>
        <w:tblCellMar>
          <w:top w:w="0" w:type="dxa"/>
          <w:left w:w="108" w:type="dxa"/>
          <w:bottom w:w="0" w:type="dxa"/>
          <w:right w:w="108" w:type="dxa"/>
        </w:tblCellMar>
      </w:tblPr>
      <w:tblGrid>
        <w:gridCol w:w="828"/>
        <w:gridCol w:w="823"/>
        <w:gridCol w:w="5983"/>
        <w:gridCol w:w="1104"/>
        <w:gridCol w:w="1574"/>
      </w:tblGrid>
      <w:tr w14:paraId="59B8B2DC">
        <w:tblPrEx>
          <w:tblCellMar>
            <w:top w:w="0" w:type="dxa"/>
            <w:left w:w="108" w:type="dxa"/>
            <w:bottom w:w="0" w:type="dxa"/>
            <w:right w:w="108" w:type="dxa"/>
          </w:tblCellMar>
        </w:tblPrEx>
        <w:trPr>
          <w:trHeight w:val="654" w:hRule="atLeast"/>
          <w:jc w:val="center"/>
        </w:trPr>
        <w:tc>
          <w:tcPr>
            <w:tcW w:w="7634" w:type="dxa"/>
            <w:gridSpan w:val="3"/>
            <w:tcBorders>
              <w:top w:val="single" w:color="auto" w:sz="4" w:space="0"/>
              <w:left w:val="single" w:color="auto" w:sz="4" w:space="0"/>
              <w:bottom w:val="single" w:color="auto" w:sz="4" w:space="0"/>
              <w:right w:val="single" w:color="auto" w:sz="4" w:space="0"/>
            </w:tcBorders>
            <w:vAlign w:val="center"/>
          </w:tcPr>
          <w:p w14:paraId="5CE26425">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碎纸机</w:t>
            </w:r>
          </w:p>
        </w:tc>
        <w:tc>
          <w:tcPr>
            <w:tcW w:w="1104" w:type="dxa"/>
            <w:tcBorders>
              <w:top w:val="single" w:color="auto" w:sz="4" w:space="0"/>
              <w:left w:val="nil"/>
              <w:bottom w:val="single" w:color="auto" w:sz="4" w:space="0"/>
              <w:right w:val="single" w:color="auto" w:sz="4" w:space="0"/>
            </w:tcBorders>
            <w:vAlign w:val="center"/>
          </w:tcPr>
          <w:p w14:paraId="6F392878">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安装补贴费/台</w:t>
            </w:r>
          </w:p>
        </w:tc>
        <w:tc>
          <w:tcPr>
            <w:tcW w:w="1574" w:type="dxa"/>
            <w:tcBorders>
              <w:top w:val="single" w:color="auto" w:sz="4" w:space="0"/>
              <w:left w:val="nil"/>
              <w:bottom w:val="single" w:color="auto" w:sz="4" w:space="0"/>
              <w:right w:val="single" w:color="auto" w:sz="4" w:space="0"/>
            </w:tcBorders>
            <w:vAlign w:val="center"/>
          </w:tcPr>
          <w:p w14:paraId="5C9327D2">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售后上门服务补贴费/次</w:t>
            </w:r>
          </w:p>
        </w:tc>
      </w:tr>
      <w:tr w14:paraId="67C18450">
        <w:tblPrEx>
          <w:tblCellMar>
            <w:top w:w="0" w:type="dxa"/>
            <w:left w:w="108" w:type="dxa"/>
            <w:bottom w:w="0" w:type="dxa"/>
            <w:right w:w="108" w:type="dxa"/>
          </w:tblCellMar>
        </w:tblPrEx>
        <w:trPr>
          <w:trHeight w:val="274" w:hRule="atLeast"/>
          <w:jc w:val="center"/>
        </w:trPr>
        <w:tc>
          <w:tcPr>
            <w:tcW w:w="828" w:type="dxa"/>
            <w:tcBorders>
              <w:top w:val="nil"/>
              <w:left w:val="single" w:color="auto" w:sz="4" w:space="0"/>
              <w:bottom w:val="nil"/>
              <w:right w:val="single" w:color="auto" w:sz="4" w:space="0"/>
            </w:tcBorders>
            <w:vAlign w:val="center"/>
          </w:tcPr>
          <w:p w14:paraId="7BBB6588">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厦门市</w:t>
            </w:r>
          </w:p>
        </w:tc>
        <w:tc>
          <w:tcPr>
            <w:tcW w:w="823" w:type="dxa"/>
            <w:tcBorders>
              <w:top w:val="nil"/>
              <w:left w:val="nil"/>
              <w:bottom w:val="single" w:color="auto" w:sz="4" w:space="0"/>
              <w:right w:val="single" w:color="auto" w:sz="4" w:space="0"/>
            </w:tcBorders>
            <w:vAlign w:val="center"/>
          </w:tcPr>
          <w:p w14:paraId="66BBCBEF">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全区</w:t>
            </w:r>
          </w:p>
        </w:tc>
        <w:tc>
          <w:tcPr>
            <w:tcW w:w="5983" w:type="dxa"/>
            <w:tcBorders>
              <w:top w:val="nil"/>
              <w:left w:val="nil"/>
              <w:bottom w:val="single" w:color="auto" w:sz="4" w:space="0"/>
              <w:right w:val="single" w:color="auto" w:sz="4" w:space="0"/>
            </w:tcBorders>
            <w:vAlign w:val="center"/>
          </w:tcPr>
          <w:p w14:paraId="088CA63D">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思明区、湖里区、海沧区、翔安区、同安区、集美区</w:t>
            </w:r>
          </w:p>
        </w:tc>
        <w:tc>
          <w:tcPr>
            <w:tcW w:w="1104" w:type="dxa"/>
            <w:tcBorders>
              <w:top w:val="nil"/>
              <w:left w:val="nil"/>
              <w:bottom w:val="single" w:color="auto" w:sz="4" w:space="0"/>
              <w:right w:val="single" w:color="auto" w:sz="4" w:space="0"/>
            </w:tcBorders>
            <w:vAlign w:val="center"/>
          </w:tcPr>
          <w:p w14:paraId="4918E16D">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7F4EC2B3">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1AA26F14">
        <w:tblPrEx>
          <w:tblCellMar>
            <w:top w:w="0" w:type="dxa"/>
            <w:left w:w="108" w:type="dxa"/>
            <w:bottom w:w="0" w:type="dxa"/>
            <w:right w:w="108" w:type="dxa"/>
          </w:tblCellMar>
        </w:tblPrEx>
        <w:trPr>
          <w:trHeight w:val="517" w:hRule="atLeast"/>
          <w:jc w:val="center"/>
        </w:trPr>
        <w:tc>
          <w:tcPr>
            <w:tcW w:w="828" w:type="dxa"/>
            <w:vMerge w:val="restart"/>
            <w:tcBorders>
              <w:top w:val="single" w:color="auto" w:sz="4" w:space="0"/>
              <w:left w:val="single" w:color="auto" w:sz="4" w:space="0"/>
              <w:bottom w:val="single" w:color="auto" w:sz="4" w:space="0"/>
              <w:right w:val="single" w:color="auto" w:sz="4" w:space="0"/>
            </w:tcBorders>
            <w:vAlign w:val="center"/>
          </w:tcPr>
          <w:p w14:paraId="493A3987">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福州市</w:t>
            </w:r>
          </w:p>
        </w:tc>
        <w:tc>
          <w:tcPr>
            <w:tcW w:w="823" w:type="dxa"/>
            <w:tcBorders>
              <w:top w:val="nil"/>
              <w:left w:val="nil"/>
              <w:bottom w:val="single" w:color="auto" w:sz="4" w:space="0"/>
              <w:right w:val="single" w:color="auto" w:sz="4" w:space="0"/>
            </w:tcBorders>
            <w:vAlign w:val="center"/>
          </w:tcPr>
          <w:p w14:paraId="585100A4">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4FB9256D">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鼓楼区、台江区、仓山区、晋安区、马尾区</w:t>
            </w:r>
          </w:p>
        </w:tc>
        <w:tc>
          <w:tcPr>
            <w:tcW w:w="1104" w:type="dxa"/>
            <w:tcBorders>
              <w:top w:val="nil"/>
              <w:left w:val="nil"/>
              <w:bottom w:val="single" w:color="auto" w:sz="4" w:space="0"/>
              <w:right w:val="single" w:color="auto" w:sz="4" w:space="0"/>
            </w:tcBorders>
            <w:vAlign w:val="center"/>
          </w:tcPr>
          <w:p w14:paraId="55C34F5C">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7BC20B24">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0F0891C2">
        <w:tblPrEx>
          <w:tblCellMar>
            <w:top w:w="0" w:type="dxa"/>
            <w:left w:w="108" w:type="dxa"/>
            <w:bottom w:w="0" w:type="dxa"/>
            <w:right w:w="108" w:type="dxa"/>
          </w:tblCellMar>
        </w:tblPrEx>
        <w:trPr>
          <w:trHeight w:val="775" w:hRule="atLeast"/>
          <w:jc w:val="center"/>
        </w:trPr>
        <w:tc>
          <w:tcPr>
            <w:tcW w:w="828" w:type="dxa"/>
            <w:vMerge w:val="continue"/>
            <w:tcBorders>
              <w:top w:val="single" w:color="auto" w:sz="4" w:space="0"/>
              <w:left w:val="single" w:color="auto" w:sz="4" w:space="0"/>
              <w:bottom w:val="single" w:color="auto" w:sz="4" w:space="0"/>
              <w:right w:val="single" w:color="auto" w:sz="4" w:space="0"/>
            </w:tcBorders>
            <w:vAlign w:val="center"/>
          </w:tcPr>
          <w:p w14:paraId="054BEA08">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823" w:type="dxa"/>
            <w:tcBorders>
              <w:top w:val="nil"/>
              <w:left w:val="nil"/>
              <w:bottom w:val="single" w:color="auto" w:sz="4" w:space="0"/>
              <w:right w:val="single" w:color="auto" w:sz="4" w:space="0"/>
            </w:tcBorders>
            <w:vAlign w:val="center"/>
          </w:tcPr>
          <w:p w14:paraId="737D96B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00283F0C">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福清市、长乐市、闽侯县、连江县、罗源县、闽清县、永泰县、平潭县等福州市非区内范围</w:t>
            </w:r>
          </w:p>
        </w:tc>
        <w:tc>
          <w:tcPr>
            <w:tcW w:w="1104" w:type="dxa"/>
            <w:tcBorders>
              <w:top w:val="nil"/>
              <w:left w:val="nil"/>
              <w:bottom w:val="single" w:color="auto" w:sz="4" w:space="0"/>
              <w:right w:val="single" w:color="auto" w:sz="4" w:space="0"/>
            </w:tcBorders>
            <w:vAlign w:val="center"/>
          </w:tcPr>
          <w:p w14:paraId="7402D542">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060DD8EC">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3E5245DC">
        <w:tblPrEx>
          <w:tblCellMar>
            <w:top w:w="0" w:type="dxa"/>
            <w:left w:w="108" w:type="dxa"/>
            <w:bottom w:w="0" w:type="dxa"/>
            <w:right w:w="108" w:type="dxa"/>
          </w:tblCellMar>
        </w:tblPrEx>
        <w:trPr>
          <w:trHeight w:val="274" w:hRule="atLeast"/>
          <w:jc w:val="center"/>
        </w:trPr>
        <w:tc>
          <w:tcPr>
            <w:tcW w:w="828" w:type="dxa"/>
            <w:vMerge w:val="restart"/>
            <w:tcBorders>
              <w:top w:val="nil"/>
              <w:left w:val="single" w:color="auto" w:sz="4" w:space="0"/>
              <w:bottom w:val="single" w:color="auto" w:sz="4" w:space="0"/>
              <w:right w:val="single" w:color="auto" w:sz="4" w:space="0"/>
            </w:tcBorders>
            <w:vAlign w:val="center"/>
          </w:tcPr>
          <w:p w14:paraId="4B6F7727">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莆田市</w:t>
            </w:r>
          </w:p>
        </w:tc>
        <w:tc>
          <w:tcPr>
            <w:tcW w:w="823" w:type="dxa"/>
            <w:tcBorders>
              <w:top w:val="nil"/>
              <w:left w:val="nil"/>
              <w:bottom w:val="single" w:color="auto" w:sz="4" w:space="0"/>
              <w:right w:val="single" w:color="auto" w:sz="4" w:space="0"/>
            </w:tcBorders>
            <w:vAlign w:val="center"/>
          </w:tcPr>
          <w:p w14:paraId="6732AE4F">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7A018C95">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城厢区、荔城区、涵江区</w:t>
            </w:r>
          </w:p>
        </w:tc>
        <w:tc>
          <w:tcPr>
            <w:tcW w:w="1104" w:type="dxa"/>
            <w:tcBorders>
              <w:top w:val="nil"/>
              <w:left w:val="nil"/>
              <w:bottom w:val="single" w:color="auto" w:sz="4" w:space="0"/>
              <w:right w:val="single" w:color="auto" w:sz="4" w:space="0"/>
            </w:tcBorders>
            <w:vAlign w:val="center"/>
          </w:tcPr>
          <w:p w14:paraId="413E9AFB">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0490C011">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6BE03BE8">
        <w:tblPrEx>
          <w:tblCellMar>
            <w:top w:w="0" w:type="dxa"/>
            <w:left w:w="108" w:type="dxa"/>
            <w:bottom w:w="0" w:type="dxa"/>
            <w:right w:w="108" w:type="dxa"/>
          </w:tblCellMar>
        </w:tblPrEx>
        <w:trPr>
          <w:trHeight w:val="775" w:hRule="atLeast"/>
          <w:jc w:val="center"/>
        </w:trPr>
        <w:tc>
          <w:tcPr>
            <w:tcW w:w="828" w:type="dxa"/>
            <w:vMerge w:val="continue"/>
            <w:tcBorders>
              <w:top w:val="nil"/>
              <w:left w:val="single" w:color="auto" w:sz="4" w:space="0"/>
              <w:bottom w:val="single" w:color="auto" w:sz="4" w:space="0"/>
              <w:right w:val="single" w:color="auto" w:sz="4" w:space="0"/>
            </w:tcBorders>
            <w:vAlign w:val="center"/>
          </w:tcPr>
          <w:p w14:paraId="0A07F37C">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823" w:type="dxa"/>
            <w:tcBorders>
              <w:top w:val="nil"/>
              <w:left w:val="nil"/>
              <w:bottom w:val="single" w:color="auto" w:sz="4" w:space="0"/>
              <w:right w:val="single" w:color="auto" w:sz="4" w:space="0"/>
            </w:tcBorders>
            <w:vAlign w:val="center"/>
          </w:tcPr>
          <w:p w14:paraId="31D006AE">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7FE74475">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秀屿区、湄洲岛、仙游县、湄洲湾北岸开发区等莆田市非区内范围</w:t>
            </w:r>
          </w:p>
        </w:tc>
        <w:tc>
          <w:tcPr>
            <w:tcW w:w="1104" w:type="dxa"/>
            <w:tcBorders>
              <w:top w:val="nil"/>
              <w:left w:val="nil"/>
              <w:bottom w:val="single" w:color="auto" w:sz="4" w:space="0"/>
              <w:right w:val="single" w:color="auto" w:sz="4" w:space="0"/>
            </w:tcBorders>
            <w:vAlign w:val="center"/>
          </w:tcPr>
          <w:p w14:paraId="6B373823">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0AF99537">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4A7DB172">
        <w:tblPrEx>
          <w:tblCellMar>
            <w:top w:w="0" w:type="dxa"/>
            <w:left w:w="108" w:type="dxa"/>
            <w:bottom w:w="0" w:type="dxa"/>
            <w:right w:w="108" w:type="dxa"/>
          </w:tblCellMar>
        </w:tblPrEx>
        <w:trPr>
          <w:trHeight w:val="517" w:hRule="atLeast"/>
          <w:jc w:val="center"/>
        </w:trPr>
        <w:tc>
          <w:tcPr>
            <w:tcW w:w="828" w:type="dxa"/>
            <w:vMerge w:val="restart"/>
            <w:tcBorders>
              <w:top w:val="nil"/>
              <w:left w:val="single" w:color="auto" w:sz="4" w:space="0"/>
              <w:bottom w:val="single" w:color="auto" w:sz="4" w:space="0"/>
              <w:right w:val="single" w:color="auto" w:sz="4" w:space="0"/>
            </w:tcBorders>
            <w:vAlign w:val="center"/>
          </w:tcPr>
          <w:p w14:paraId="0677ABE4">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泉州市</w:t>
            </w:r>
          </w:p>
        </w:tc>
        <w:tc>
          <w:tcPr>
            <w:tcW w:w="823" w:type="dxa"/>
            <w:tcBorders>
              <w:top w:val="nil"/>
              <w:left w:val="nil"/>
              <w:bottom w:val="single" w:color="auto" w:sz="4" w:space="0"/>
              <w:right w:val="single" w:color="auto" w:sz="4" w:space="0"/>
            </w:tcBorders>
            <w:vAlign w:val="center"/>
          </w:tcPr>
          <w:p w14:paraId="6869748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63EA77F0">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鲤城区、丰泽区、洛江区、泉港区</w:t>
            </w:r>
          </w:p>
        </w:tc>
        <w:tc>
          <w:tcPr>
            <w:tcW w:w="1104" w:type="dxa"/>
            <w:tcBorders>
              <w:top w:val="nil"/>
              <w:left w:val="nil"/>
              <w:bottom w:val="single" w:color="auto" w:sz="4" w:space="0"/>
              <w:right w:val="single" w:color="auto" w:sz="4" w:space="0"/>
            </w:tcBorders>
            <w:vAlign w:val="center"/>
          </w:tcPr>
          <w:p w14:paraId="2809F270">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692B3A12">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4D83AFA9">
        <w:tblPrEx>
          <w:tblCellMar>
            <w:top w:w="0" w:type="dxa"/>
            <w:left w:w="108" w:type="dxa"/>
            <w:bottom w:w="0" w:type="dxa"/>
            <w:right w:w="108" w:type="dxa"/>
          </w:tblCellMar>
        </w:tblPrEx>
        <w:trPr>
          <w:trHeight w:val="775" w:hRule="atLeast"/>
          <w:jc w:val="center"/>
        </w:trPr>
        <w:tc>
          <w:tcPr>
            <w:tcW w:w="828" w:type="dxa"/>
            <w:vMerge w:val="continue"/>
            <w:tcBorders>
              <w:top w:val="nil"/>
              <w:left w:val="single" w:color="auto" w:sz="4" w:space="0"/>
              <w:bottom w:val="single" w:color="auto" w:sz="4" w:space="0"/>
              <w:right w:val="single" w:color="auto" w:sz="4" w:space="0"/>
            </w:tcBorders>
            <w:vAlign w:val="center"/>
          </w:tcPr>
          <w:p w14:paraId="2F5C1E1D">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823" w:type="dxa"/>
            <w:tcBorders>
              <w:top w:val="nil"/>
              <w:left w:val="nil"/>
              <w:bottom w:val="single" w:color="auto" w:sz="4" w:space="0"/>
              <w:right w:val="single" w:color="auto" w:sz="4" w:space="0"/>
            </w:tcBorders>
            <w:vAlign w:val="center"/>
          </w:tcPr>
          <w:p w14:paraId="367637D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67D12228">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晋江市、石狮市、南安市、惠安县、安溪县、永春县、德化县等泉州市非区内范围</w:t>
            </w:r>
          </w:p>
        </w:tc>
        <w:tc>
          <w:tcPr>
            <w:tcW w:w="1104" w:type="dxa"/>
            <w:tcBorders>
              <w:top w:val="nil"/>
              <w:left w:val="nil"/>
              <w:bottom w:val="single" w:color="auto" w:sz="4" w:space="0"/>
              <w:right w:val="single" w:color="auto" w:sz="4" w:space="0"/>
            </w:tcBorders>
            <w:vAlign w:val="center"/>
          </w:tcPr>
          <w:p w14:paraId="7C49636C">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3F89F52F">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0956A133">
        <w:tblPrEx>
          <w:tblCellMar>
            <w:top w:w="0" w:type="dxa"/>
            <w:left w:w="108" w:type="dxa"/>
            <w:bottom w:w="0" w:type="dxa"/>
            <w:right w:w="108" w:type="dxa"/>
          </w:tblCellMar>
        </w:tblPrEx>
        <w:trPr>
          <w:trHeight w:val="274" w:hRule="atLeast"/>
          <w:jc w:val="center"/>
        </w:trPr>
        <w:tc>
          <w:tcPr>
            <w:tcW w:w="828" w:type="dxa"/>
            <w:vMerge w:val="restart"/>
            <w:tcBorders>
              <w:top w:val="nil"/>
              <w:left w:val="single" w:color="auto" w:sz="4" w:space="0"/>
              <w:bottom w:val="single" w:color="auto" w:sz="4" w:space="0"/>
              <w:right w:val="single" w:color="auto" w:sz="4" w:space="0"/>
            </w:tcBorders>
            <w:vAlign w:val="center"/>
          </w:tcPr>
          <w:p w14:paraId="32D04BC5">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漳州市</w:t>
            </w:r>
          </w:p>
        </w:tc>
        <w:tc>
          <w:tcPr>
            <w:tcW w:w="823" w:type="dxa"/>
            <w:tcBorders>
              <w:top w:val="nil"/>
              <w:left w:val="nil"/>
              <w:bottom w:val="single" w:color="auto" w:sz="4" w:space="0"/>
              <w:right w:val="single" w:color="auto" w:sz="4" w:space="0"/>
            </w:tcBorders>
            <w:vAlign w:val="center"/>
          </w:tcPr>
          <w:p w14:paraId="0A475640">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05326CDD">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芗城区、龙文区</w:t>
            </w:r>
          </w:p>
        </w:tc>
        <w:tc>
          <w:tcPr>
            <w:tcW w:w="1104" w:type="dxa"/>
            <w:tcBorders>
              <w:top w:val="nil"/>
              <w:left w:val="nil"/>
              <w:bottom w:val="single" w:color="auto" w:sz="4" w:space="0"/>
              <w:right w:val="single" w:color="auto" w:sz="4" w:space="0"/>
            </w:tcBorders>
            <w:vAlign w:val="center"/>
          </w:tcPr>
          <w:p w14:paraId="7CB58E0F">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64B7A4D7">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05219634">
        <w:tblPrEx>
          <w:tblCellMar>
            <w:top w:w="0" w:type="dxa"/>
            <w:left w:w="108" w:type="dxa"/>
            <w:bottom w:w="0" w:type="dxa"/>
            <w:right w:w="108" w:type="dxa"/>
          </w:tblCellMar>
        </w:tblPrEx>
        <w:trPr>
          <w:trHeight w:val="1034" w:hRule="atLeast"/>
          <w:jc w:val="center"/>
        </w:trPr>
        <w:tc>
          <w:tcPr>
            <w:tcW w:w="828" w:type="dxa"/>
            <w:vMerge w:val="continue"/>
            <w:tcBorders>
              <w:top w:val="nil"/>
              <w:left w:val="single" w:color="auto" w:sz="4" w:space="0"/>
              <w:bottom w:val="single" w:color="auto" w:sz="4" w:space="0"/>
              <w:right w:val="single" w:color="auto" w:sz="4" w:space="0"/>
            </w:tcBorders>
            <w:vAlign w:val="center"/>
          </w:tcPr>
          <w:p w14:paraId="3B9984BD">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823" w:type="dxa"/>
            <w:tcBorders>
              <w:top w:val="nil"/>
              <w:left w:val="nil"/>
              <w:bottom w:val="single" w:color="auto" w:sz="4" w:space="0"/>
              <w:right w:val="single" w:color="auto" w:sz="4" w:space="0"/>
            </w:tcBorders>
            <w:vAlign w:val="center"/>
          </w:tcPr>
          <w:p w14:paraId="548CD84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7C55D4EB">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龙海区、云霄县、漳浦县、诏安县、长泰区、东山县、南靖县、平和县、华安县等漳州市非区内范围</w:t>
            </w:r>
          </w:p>
        </w:tc>
        <w:tc>
          <w:tcPr>
            <w:tcW w:w="1104" w:type="dxa"/>
            <w:tcBorders>
              <w:top w:val="nil"/>
              <w:left w:val="nil"/>
              <w:bottom w:val="single" w:color="auto" w:sz="4" w:space="0"/>
              <w:right w:val="single" w:color="auto" w:sz="4" w:space="0"/>
            </w:tcBorders>
            <w:vAlign w:val="center"/>
          </w:tcPr>
          <w:p w14:paraId="0CAEFABD">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57EA0B29">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60F5F172">
        <w:tblPrEx>
          <w:tblCellMar>
            <w:top w:w="0" w:type="dxa"/>
            <w:left w:w="108" w:type="dxa"/>
            <w:bottom w:w="0" w:type="dxa"/>
            <w:right w:w="108" w:type="dxa"/>
          </w:tblCellMar>
        </w:tblPrEx>
        <w:trPr>
          <w:trHeight w:val="274" w:hRule="atLeast"/>
          <w:jc w:val="center"/>
        </w:trPr>
        <w:tc>
          <w:tcPr>
            <w:tcW w:w="828" w:type="dxa"/>
            <w:vMerge w:val="restart"/>
            <w:tcBorders>
              <w:top w:val="nil"/>
              <w:left w:val="single" w:color="auto" w:sz="4" w:space="0"/>
              <w:bottom w:val="single" w:color="auto" w:sz="4" w:space="0"/>
              <w:right w:val="single" w:color="auto" w:sz="4" w:space="0"/>
            </w:tcBorders>
            <w:vAlign w:val="center"/>
          </w:tcPr>
          <w:p w14:paraId="550000D4">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龙岩市</w:t>
            </w:r>
          </w:p>
        </w:tc>
        <w:tc>
          <w:tcPr>
            <w:tcW w:w="823" w:type="dxa"/>
            <w:tcBorders>
              <w:top w:val="nil"/>
              <w:left w:val="nil"/>
              <w:bottom w:val="single" w:color="auto" w:sz="4" w:space="0"/>
              <w:right w:val="single" w:color="auto" w:sz="4" w:space="0"/>
            </w:tcBorders>
            <w:vAlign w:val="center"/>
          </w:tcPr>
          <w:p w14:paraId="05B6BB77">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0793EA61">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新罗区</w:t>
            </w:r>
          </w:p>
        </w:tc>
        <w:tc>
          <w:tcPr>
            <w:tcW w:w="1104" w:type="dxa"/>
            <w:tcBorders>
              <w:top w:val="nil"/>
              <w:left w:val="nil"/>
              <w:bottom w:val="single" w:color="auto" w:sz="4" w:space="0"/>
              <w:right w:val="single" w:color="auto" w:sz="4" w:space="0"/>
            </w:tcBorders>
            <w:vAlign w:val="center"/>
          </w:tcPr>
          <w:p w14:paraId="674327B1">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3A913DC9">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41BE27D1">
        <w:tblPrEx>
          <w:tblCellMar>
            <w:top w:w="0" w:type="dxa"/>
            <w:left w:w="108" w:type="dxa"/>
            <w:bottom w:w="0" w:type="dxa"/>
            <w:right w:w="108" w:type="dxa"/>
          </w:tblCellMar>
        </w:tblPrEx>
        <w:trPr>
          <w:trHeight w:val="517" w:hRule="atLeast"/>
          <w:jc w:val="center"/>
        </w:trPr>
        <w:tc>
          <w:tcPr>
            <w:tcW w:w="828" w:type="dxa"/>
            <w:vMerge w:val="continue"/>
            <w:tcBorders>
              <w:top w:val="nil"/>
              <w:left w:val="single" w:color="auto" w:sz="4" w:space="0"/>
              <w:bottom w:val="single" w:color="auto" w:sz="4" w:space="0"/>
              <w:right w:val="single" w:color="auto" w:sz="4" w:space="0"/>
            </w:tcBorders>
            <w:vAlign w:val="center"/>
          </w:tcPr>
          <w:p w14:paraId="59858C03">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823" w:type="dxa"/>
            <w:tcBorders>
              <w:top w:val="nil"/>
              <w:left w:val="nil"/>
              <w:bottom w:val="single" w:color="auto" w:sz="4" w:space="0"/>
              <w:right w:val="single" w:color="auto" w:sz="4" w:space="0"/>
            </w:tcBorders>
            <w:vAlign w:val="center"/>
          </w:tcPr>
          <w:p w14:paraId="01ABE51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23BF9112">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永定区、长汀县、连城县、上杭县、武平县等龙岩市非区内范围</w:t>
            </w:r>
          </w:p>
        </w:tc>
        <w:tc>
          <w:tcPr>
            <w:tcW w:w="1104" w:type="dxa"/>
            <w:tcBorders>
              <w:top w:val="nil"/>
              <w:left w:val="nil"/>
              <w:bottom w:val="single" w:color="auto" w:sz="4" w:space="0"/>
              <w:right w:val="single" w:color="auto" w:sz="4" w:space="0"/>
            </w:tcBorders>
            <w:vAlign w:val="center"/>
          </w:tcPr>
          <w:p w14:paraId="29C6B5BD">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07459CD9">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7B3BD8C0">
        <w:tblPrEx>
          <w:tblCellMar>
            <w:top w:w="0" w:type="dxa"/>
            <w:left w:w="108" w:type="dxa"/>
            <w:bottom w:w="0" w:type="dxa"/>
            <w:right w:w="108" w:type="dxa"/>
          </w:tblCellMar>
        </w:tblPrEx>
        <w:trPr>
          <w:trHeight w:val="274" w:hRule="atLeast"/>
          <w:jc w:val="center"/>
        </w:trPr>
        <w:tc>
          <w:tcPr>
            <w:tcW w:w="828" w:type="dxa"/>
            <w:vMerge w:val="restart"/>
            <w:tcBorders>
              <w:top w:val="nil"/>
              <w:left w:val="single" w:color="auto" w:sz="4" w:space="0"/>
              <w:bottom w:val="single" w:color="auto" w:sz="4" w:space="0"/>
              <w:right w:val="single" w:color="auto" w:sz="4" w:space="0"/>
            </w:tcBorders>
            <w:vAlign w:val="center"/>
          </w:tcPr>
          <w:p w14:paraId="7900F535">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三明市</w:t>
            </w:r>
          </w:p>
        </w:tc>
        <w:tc>
          <w:tcPr>
            <w:tcW w:w="823" w:type="dxa"/>
            <w:tcBorders>
              <w:top w:val="nil"/>
              <w:left w:val="nil"/>
              <w:bottom w:val="single" w:color="auto" w:sz="4" w:space="0"/>
              <w:right w:val="single" w:color="auto" w:sz="4" w:space="0"/>
            </w:tcBorders>
            <w:vAlign w:val="center"/>
          </w:tcPr>
          <w:p w14:paraId="5680BECD">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324AA308">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梅列区、三元区</w:t>
            </w:r>
          </w:p>
        </w:tc>
        <w:tc>
          <w:tcPr>
            <w:tcW w:w="1104" w:type="dxa"/>
            <w:tcBorders>
              <w:top w:val="nil"/>
              <w:left w:val="nil"/>
              <w:bottom w:val="single" w:color="auto" w:sz="4" w:space="0"/>
              <w:right w:val="single" w:color="auto" w:sz="4" w:space="0"/>
            </w:tcBorders>
            <w:vAlign w:val="center"/>
          </w:tcPr>
          <w:p w14:paraId="5356646D">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7694C420">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74D945F7">
        <w:tblPrEx>
          <w:tblCellMar>
            <w:top w:w="0" w:type="dxa"/>
            <w:left w:w="108" w:type="dxa"/>
            <w:bottom w:w="0" w:type="dxa"/>
            <w:right w:w="108" w:type="dxa"/>
          </w:tblCellMar>
        </w:tblPrEx>
        <w:trPr>
          <w:trHeight w:val="1034" w:hRule="atLeast"/>
          <w:jc w:val="center"/>
        </w:trPr>
        <w:tc>
          <w:tcPr>
            <w:tcW w:w="828" w:type="dxa"/>
            <w:vMerge w:val="continue"/>
            <w:tcBorders>
              <w:top w:val="nil"/>
              <w:left w:val="single" w:color="auto" w:sz="4" w:space="0"/>
              <w:bottom w:val="single" w:color="auto" w:sz="4" w:space="0"/>
              <w:right w:val="single" w:color="auto" w:sz="4" w:space="0"/>
            </w:tcBorders>
            <w:vAlign w:val="center"/>
          </w:tcPr>
          <w:p w14:paraId="1E81025C">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823" w:type="dxa"/>
            <w:tcBorders>
              <w:top w:val="nil"/>
              <w:left w:val="nil"/>
              <w:bottom w:val="single" w:color="auto" w:sz="4" w:space="0"/>
              <w:right w:val="single" w:color="auto" w:sz="4" w:space="0"/>
            </w:tcBorders>
            <w:vAlign w:val="center"/>
          </w:tcPr>
          <w:p w14:paraId="7BB7F89B">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63B67B85">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永安市、沙县、尤溪县、大田县、明溪县、清流县、宁化县、将乐县、泰宁县、建宁县等三明市非区内范围</w:t>
            </w:r>
          </w:p>
        </w:tc>
        <w:tc>
          <w:tcPr>
            <w:tcW w:w="1104" w:type="dxa"/>
            <w:tcBorders>
              <w:top w:val="nil"/>
              <w:left w:val="nil"/>
              <w:bottom w:val="single" w:color="auto" w:sz="4" w:space="0"/>
              <w:right w:val="single" w:color="auto" w:sz="4" w:space="0"/>
            </w:tcBorders>
            <w:vAlign w:val="center"/>
          </w:tcPr>
          <w:p w14:paraId="38EB52FE">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7252F53F">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392FF2CB">
        <w:tblPrEx>
          <w:tblCellMar>
            <w:top w:w="0" w:type="dxa"/>
            <w:left w:w="108" w:type="dxa"/>
            <w:bottom w:w="0" w:type="dxa"/>
            <w:right w:w="108" w:type="dxa"/>
          </w:tblCellMar>
        </w:tblPrEx>
        <w:trPr>
          <w:trHeight w:val="274" w:hRule="atLeast"/>
          <w:jc w:val="center"/>
        </w:trPr>
        <w:tc>
          <w:tcPr>
            <w:tcW w:w="828" w:type="dxa"/>
            <w:vMerge w:val="restart"/>
            <w:tcBorders>
              <w:top w:val="nil"/>
              <w:left w:val="single" w:color="auto" w:sz="4" w:space="0"/>
              <w:bottom w:val="single" w:color="auto" w:sz="4" w:space="0"/>
              <w:right w:val="single" w:color="auto" w:sz="4" w:space="0"/>
            </w:tcBorders>
            <w:vAlign w:val="center"/>
          </w:tcPr>
          <w:p w14:paraId="48B36404">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南平市</w:t>
            </w:r>
          </w:p>
        </w:tc>
        <w:tc>
          <w:tcPr>
            <w:tcW w:w="823" w:type="dxa"/>
            <w:tcBorders>
              <w:top w:val="nil"/>
              <w:left w:val="nil"/>
              <w:bottom w:val="single" w:color="auto" w:sz="4" w:space="0"/>
              <w:right w:val="single" w:color="auto" w:sz="4" w:space="0"/>
            </w:tcBorders>
            <w:vAlign w:val="center"/>
          </w:tcPr>
          <w:p w14:paraId="7E78285F">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2EC7EF55">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延平区</w:t>
            </w:r>
          </w:p>
        </w:tc>
        <w:tc>
          <w:tcPr>
            <w:tcW w:w="1104" w:type="dxa"/>
            <w:tcBorders>
              <w:top w:val="nil"/>
              <w:left w:val="nil"/>
              <w:bottom w:val="single" w:color="auto" w:sz="4" w:space="0"/>
              <w:right w:val="single" w:color="auto" w:sz="4" w:space="0"/>
            </w:tcBorders>
            <w:vAlign w:val="center"/>
          </w:tcPr>
          <w:p w14:paraId="05AAFA75">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74B352B9">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7A5DE634">
        <w:tblPrEx>
          <w:tblCellMar>
            <w:top w:w="0" w:type="dxa"/>
            <w:left w:w="108" w:type="dxa"/>
            <w:bottom w:w="0" w:type="dxa"/>
            <w:right w:w="108" w:type="dxa"/>
          </w:tblCellMar>
        </w:tblPrEx>
        <w:trPr>
          <w:trHeight w:val="1034" w:hRule="atLeast"/>
          <w:jc w:val="center"/>
        </w:trPr>
        <w:tc>
          <w:tcPr>
            <w:tcW w:w="828" w:type="dxa"/>
            <w:vMerge w:val="continue"/>
            <w:tcBorders>
              <w:top w:val="nil"/>
              <w:left w:val="single" w:color="auto" w:sz="4" w:space="0"/>
              <w:bottom w:val="single" w:color="auto" w:sz="4" w:space="0"/>
              <w:right w:val="single" w:color="auto" w:sz="4" w:space="0"/>
            </w:tcBorders>
            <w:vAlign w:val="center"/>
          </w:tcPr>
          <w:p w14:paraId="18789B44">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823" w:type="dxa"/>
            <w:tcBorders>
              <w:top w:val="nil"/>
              <w:left w:val="nil"/>
              <w:bottom w:val="single" w:color="auto" w:sz="4" w:space="0"/>
              <w:right w:val="single" w:color="auto" w:sz="4" w:space="0"/>
            </w:tcBorders>
            <w:vAlign w:val="center"/>
          </w:tcPr>
          <w:p w14:paraId="5791945A">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533CEBB2">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顺昌县、建瓯市、邵武市、建阳区、政和县、松溪县、浦城县、武夷山市、光泽县等南平市非区内范围</w:t>
            </w:r>
          </w:p>
        </w:tc>
        <w:tc>
          <w:tcPr>
            <w:tcW w:w="1104" w:type="dxa"/>
            <w:tcBorders>
              <w:top w:val="nil"/>
              <w:left w:val="nil"/>
              <w:bottom w:val="single" w:color="auto" w:sz="4" w:space="0"/>
              <w:right w:val="single" w:color="auto" w:sz="4" w:space="0"/>
            </w:tcBorders>
            <w:vAlign w:val="center"/>
          </w:tcPr>
          <w:p w14:paraId="06221E62">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6DE9DF47">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r w14:paraId="34F0D60A">
        <w:tblPrEx>
          <w:tblCellMar>
            <w:top w:w="0" w:type="dxa"/>
            <w:left w:w="108" w:type="dxa"/>
            <w:bottom w:w="0" w:type="dxa"/>
            <w:right w:w="108" w:type="dxa"/>
          </w:tblCellMar>
        </w:tblPrEx>
        <w:trPr>
          <w:trHeight w:val="274" w:hRule="atLeast"/>
          <w:jc w:val="center"/>
        </w:trPr>
        <w:tc>
          <w:tcPr>
            <w:tcW w:w="828" w:type="dxa"/>
            <w:vMerge w:val="restart"/>
            <w:tcBorders>
              <w:top w:val="nil"/>
              <w:left w:val="single" w:color="auto" w:sz="4" w:space="0"/>
              <w:bottom w:val="single" w:color="auto" w:sz="4" w:space="0"/>
              <w:right w:val="single" w:color="auto" w:sz="4" w:space="0"/>
            </w:tcBorders>
            <w:vAlign w:val="center"/>
          </w:tcPr>
          <w:p w14:paraId="48E2006E">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宁德市</w:t>
            </w:r>
          </w:p>
        </w:tc>
        <w:tc>
          <w:tcPr>
            <w:tcW w:w="823" w:type="dxa"/>
            <w:tcBorders>
              <w:top w:val="nil"/>
              <w:left w:val="nil"/>
              <w:bottom w:val="single" w:color="auto" w:sz="4" w:space="0"/>
              <w:right w:val="single" w:color="auto" w:sz="4" w:space="0"/>
            </w:tcBorders>
            <w:vAlign w:val="center"/>
          </w:tcPr>
          <w:p w14:paraId="2B1E6843">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市区内</w:t>
            </w:r>
          </w:p>
        </w:tc>
        <w:tc>
          <w:tcPr>
            <w:tcW w:w="5983" w:type="dxa"/>
            <w:tcBorders>
              <w:top w:val="nil"/>
              <w:left w:val="nil"/>
              <w:bottom w:val="single" w:color="auto" w:sz="4" w:space="0"/>
              <w:right w:val="single" w:color="auto" w:sz="4" w:space="0"/>
            </w:tcBorders>
            <w:vAlign w:val="center"/>
          </w:tcPr>
          <w:p w14:paraId="6F66C694">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蕉城区、东侨新区</w:t>
            </w:r>
          </w:p>
        </w:tc>
        <w:tc>
          <w:tcPr>
            <w:tcW w:w="1104" w:type="dxa"/>
            <w:tcBorders>
              <w:top w:val="nil"/>
              <w:left w:val="nil"/>
              <w:bottom w:val="single" w:color="auto" w:sz="4" w:space="0"/>
              <w:right w:val="single" w:color="auto" w:sz="4" w:space="0"/>
            </w:tcBorders>
            <w:vAlign w:val="center"/>
          </w:tcPr>
          <w:p w14:paraId="63ADB16A">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c>
          <w:tcPr>
            <w:tcW w:w="1574" w:type="dxa"/>
            <w:tcBorders>
              <w:top w:val="nil"/>
              <w:left w:val="nil"/>
              <w:bottom w:val="single" w:color="auto" w:sz="4" w:space="0"/>
              <w:right w:val="single" w:color="auto" w:sz="4" w:space="0"/>
            </w:tcBorders>
            <w:vAlign w:val="center"/>
          </w:tcPr>
          <w:p w14:paraId="6A8DB286">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0</w:t>
            </w:r>
          </w:p>
        </w:tc>
      </w:tr>
      <w:tr w14:paraId="2F6B0113">
        <w:tblPrEx>
          <w:tblCellMar>
            <w:top w:w="0" w:type="dxa"/>
            <w:left w:w="108" w:type="dxa"/>
            <w:bottom w:w="0" w:type="dxa"/>
            <w:right w:w="108" w:type="dxa"/>
          </w:tblCellMar>
        </w:tblPrEx>
        <w:trPr>
          <w:trHeight w:val="775" w:hRule="atLeast"/>
          <w:jc w:val="center"/>
        </w:trPr>
        <w:tc>
          <w:tcPr>
            <w:tcW w:w="828" w:type="dxa"/>
            <w:vMerge w:val="continue"/>
            <w:tcBorders>
              <w:top w:val="nil"/>
              <w:left w:val="single" w:color="auto" w:sz="4" w:space="0"/>
              <w:bottom w:val="single" w:color="auto" w:sz="4" w:space="0"/>
              <w:right w:val="single" w:color="auto" w:sz="4" w:space="0"/>
            </w:tcBorders>
            <w:vAlign w:val="center"/>
          </w:tcPr>
          <w:p w14:paraId="05EDFD98">
            <w:pPr>
              <w:keepNext w:val="0"/>
              <w:keepLines w:val="0"/>
              <w:widowControl/>
              <w:suppressLineNumbers w:val="0"/>
              <w:spacing w:before="0" w:beforeAutospacing="0" w:after="0" w:afterAutospacing="0" w:line="360" w:lineRule="auto"/>
              <w:ind w:left="0" w:right="0"/>
              <w:jc w:val="left"/>
              <w:rPr>
                <w:rFonts w:hint="eastAsia" w:cs="宋体" w:asciiTheme="minorEastAsia" w:hAnsiTheme="minorEastAsia" w:eastAsiaTheme="minorEastAsia"/>
                <w:b/>
                <w:color w:val="auto"/>
                <w:kern w:val="0"/>
                <w:sz w:val="24"/>
                <w:szCs w:val="24"/>
                <w:highlight w:val="none"/>
              </w:rPr>
            </w:pPr>
          </w:p>
        </w:tc>
        <w:tc>
          <w:tcPr>
            <w:tcW w:w="823" w:type="dxa"/>
            <w:tcBorders>
              <w:top w:val="nil"/>
              <w:left w:val="nil"/>
              <w:bottom w:val="single" w:color="auto" w:sz="4" w:space="0"/>
              <w:right w:val="single" w:color="auto" w:sz="4" w:space="0"/>
            </w:tcBorders>
            <w:vAlign w:val="center"/>
          </w:tcPr>
          <w:p w14:paraId="096C5518">
            <w:pPr>
              <w:keepNext w:val="0"/>
              <w:keepLines w:val="0"/>
              <w:widowControl/>
              <w:suppressLineNumbers w:val="0"/>
              <w:spacing w:before="0" w:beforeAutospacing="0" w:after="0" w:afterAutospacing="0" w:line="360" w:lineRule="auto"/>
              <w:ind w:left="0" w:right="0"/>
              <w:jc w:val="center"/>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市区外</w:t>
            </w:r>
          </w:p>
        </w:tc>
        <w:tc>
          <w:tcPr>
            <w:tcW w:w="5983" w:type="dxa"/>
            <w:tcBorders>
              <w:top w:val="nil"/>
              <w:left w:val="nil"/>
              <w:bottom w:val="single" w:color="auto" w:sz="4" w:space="0"/>
              <w:right w:val="single" w:color="auto" w:sz="4" w:space="0"/>
            </w:tcBorders>
            <w:vAlign w:val="center"/>
          </w:tcPr>
          <w:p w14:paraId="41026381">
            <w:pPr>
              <w:keepNext w:val="0"/>
              <w:keepLines w:val="0"/>
              <w:widowControl/>
              <w:suppressLineNumbers w:val="0"/>
              <w:spacing w:before="0" w:beforeAutospacing="0" w:after="0" w:afterAutospacing="0" w:line="360" w:lineRule="auto"/>
              <w:ind w:left="0" w:right="0"/>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福安市、福鼎市、霞浦县、古田县、屏南县、寿宁县、周宁县、柘荣县等宁德市非区内范围</w:t>
            </w:r>
          </w:p>
        </w:tc>
        <w:tc>
          <w:tcPr>
            <w:tcW w:w="1104" w:type="dxa"/>
            <w:tcBorders>
              <w:top w:val="nil"/>
              <w:left w:val="nil"/>
              <w:bottom w:val="single" w:color="auto" w:sz="4" w:space="0"/>
              <w:right w:val="single" w:color="auto" w:sz="4" w:space="0"/>
            </w:tcBorders>
            <w:vAlign w:val="center"/>
          </w:tcPr>
          <w:p w14:paraId="214FDF24">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c>
          <w:tcPr>
            <w:tcW w:w="1574" w:type="dxa"/>
            <w:tcBorders>
              <w:top w:val="nil"/>
              <w:left w:val="nil"/>
              <w:bottom w:val="single" w:color="auto" w:sz="4" w:space="0"/>
              <w:right w:val="single" w:color="auto" w:sz="4" w:space="0"/>
            </w:tcBorders>
            <w:vAlign w:val="center"/>
          </w:tcPr>
          <w:p w14:paraId="7E756836">
            <w:pPr>
              <w:keepNext w:val="0"/>
              <w:keepLines w:val="0"/>
              <w:widowControl/>
              <w:suppressLineNumbers w:val="0"/>
              <w:spacing w:before="0" w:beforeAutospacing="0" w:after="0" w:afterAutospacing="0" w:line="360" w:lineRule="auto"/>
              <w:ind w:left="0" w:right="0"/>
              <w:jc w:val="righ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40</w:t>
            </w:r>
          </w:p>
        </w:tc>
      </w:tr>
    </w:tbl>
    <w:p w14:paraId="666C7033">
      <w:pPr>
        <w:tabs>
          <w:tab w:val="left" w:pos="5130"/>
        </w:tabs>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*6、投标人须在投标文件中作出明确承诺：承诺1-1至1-4所有产品不得内置任何具备扫描、读取、传输、发送等一切可导致信息泄露的模块或芯片。</w:t>
      </w:r>
    </w:p>
    <w:p w14:paraId="27130268">
      <w:pPr>
        <w:tabs>
          <w:tab w:val="left" w:pos="5130"/>
        </w:tabs>
        <w:spacing w:line="360" w:lineRule="auto"/>
        <w:ind w:firstLine="480"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bCs/>
          <w:color w:val="auto"/>
          <w:sz w:val="24"/>
          <w:szCs w:val="24"/>
          <w:highlight w:val="none"/>
        </w:rPr>
        <w:t>7、采购周期：两年。</w:t>
      </w:r>
    </w:p>
    <w:p w14:paraId="66C25B7F">
      <w:pPr>
        <w:adjustRightInd w:val="0"/>
        <w:snapToGrid w:val="0"/>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三、资格证明文件</w:t>
      </w:r>
    </w:p>
    <w:p w14:paraId="2F550D9D">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*1、投标人应具备独立的企业法人资格，并提供法人营业执照副本</w:t>
      </w:r>
      <w:r>
        <w:rPr>
          <w:rFonts w:asciiTheme="minorEastAsia" w:hAnsiTheme="minorEastAsia" w:eastAsiaTheme="minorEastAsia"/>
          <w:b/>
          <w:color w:val="auto"/>
          <w:sz w:val="24"/>
          <w:szCs w:val="24"/>
          <w:highlight w:val="none"/>
        </w:rPr>
        <w:t>扫描件。</w:t>
      </w:r>
    </w:p>
    <w:p w14:paraId="43398672">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*2、投标人全权代表若不是企业法定代表人，应提供法人授权书原件，并提供被授权代表身份证</w:t>
      </w:r>
      <w:r>
        <w:rPr>
          <w:rFonts w:asciiTheme="minorEastAsia" w:hAnsiTheme="minorEastAsia" w:eastAsiaTheme="minorEastAsia"/>
          <w:b/>
          <w:color w:val="auto"/>
          <w:sz w:val="24"/>
          <w:szCs w:val="24"/>
          <w:highlight w:val="none"/>
        </w:rPr>
        <w:t>扫描件。</w:t>
      </w:r>
    </w:p>
    <w:p w14:paraId="1D23981E">
      <w:pPr>
        <w:spacing w:line="360" w:lineRule="auto"/>
        <w:ind w:firstLine="482" w:firstLineChars="200"/>
        <w:jc w:val="left"/>
        <w:rPr>
          <w:rFonts w:hint="eastAsia" w:asciiTheme="minorEastAsia" w:hAnsiTheme="minorEastAsia" w:eastAsiaTheme="minorEastAsia"/>
          <w:b/>
          <w:color w:val="auto"/>
          <w:sz w:val="24"/>
          <w:szCs w:val="24"/>
          <w:highlight w:val="none"/>
        </w:rPr>
      </w:pPr>
    </w:p>
    <w:p w14:paraId="4B4BB5E8">
      <w:pPr>
        <w:adjustRightInd w:val="0"/>
        <w:snapToGrid w:val="0"/>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四、售后服务要求</w:t>
      </w:r>
    </w:p>
    <w:p w14:paraId="56EE0F59">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*1、合同设备的保修期自最终验收合格之日起计算，应当提供至少免费一年上门保修，同时保证保修年限不低于合同货物中品牌型号的官网标准。</w:t>
      </w:r>
    </w:p>
    <w:p w14:paraId="748A25C0">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*2、投标人应在投标文件中提供具体的售后服务承诺条款。</w:t>
      </w:r>
    </w:p>
    <w:p w14:paraId="3F488319">
      <w:pPr>
        <w:spacing w:line="360" w:lineRule="auto"/>
        <w:ind w:firstLine="480" w:firstLineChars="200"/>
        <w:jc w:val="left"/>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投标人承诺并提供书面承诺函（格式自拟），一旦中标，在接到采购单位或最终用户的报修电话，应在1个工作小时内电话响应，3个工作小时内到达，到达后12个工作小时内修复；若在12个工作小时内无法修复的，中标供应商应先提供备用机供最终用户使用，直至设备修复；如中标供应商所提供的备用机与故障机的型号不同，则需免费提供耗材。如果中标供应商未在承诺的时间内将设备修复或者提供备用机的则中标供应商应按200.00元/台/天向采购单位支付逾期违约金。</w:t>
      </w:r>
    </w:p>
    <w:p w14:paraId="6DE403E9">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4、投标人承诺并提供书面承诺函（格式自拟），同意若中标，卖方承诺在履行合同期间，如果出现以下任一情况，买方有权单方解除合同，卖方应支付相当于履约保证金金额的违约金。同时，对卖方下述情况在厦门市政府采购网、厦门招投标网进行公示，并在三年内拒绝中标人进入大宗政府招标采购项目的投标报价：</w:t>
      </w:r>
    </w:p>
    <w:p w14:paraId="3A63FC59">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①违反法律法规、行业规范要求被有关部门查处的；</w:t>
      </w:r>
    </w:p>
    <w:p w14:paraId="646552E9">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②提供假冒伪劣产品的；</w:t>
      </w:r>
    </w:p>
    <w:p w14:paraId="2C5C8714">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③通过给回扣或变相给回扣的方式招揽业务的；</w:t>
      </w:r>
    </w:p>
    <w:p w14:paraId="7172C352">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④因产品质量或服务问题被有效投诉达三次以上的；</w:t>
      </w:r>
    </w:p>
    <w:p w14:paraId="7FE312BB">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⑤向有关部门、采购单位、最终使用方提供虚假信息或资料等情况的；</w:t>
      </w:r>
    </w:p>
    <w:p w14:paraId="771F6BAD">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⑥出现重大客户投诉事件（如政府采购管理部门督办事件、新闻媒体公开报道、采购业主书面发函投诉以及其他对买方产生严重负面影响的事件）；</w:t>
      </w:r>
    </w:p>
    <w:p w14:paraId="7AB1CE18">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⑦报修率超过3%。报修率=保修期内硬件故障报修有效台次/已销售台数*100%（已销售台数超过100台之后开始计算报修率）。</w:t>
      </w:r>
    </w:p>
    <w:p w14:paraId="0679831D">
      <w:pPr>
        <w:adjustRightInd w:val="0"/>
        <w:snapToGrid w:val="0"/>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⑧逾期供货时间超过30天（包括产品送到买方仓库或最终用户指定地点的逾期和完成产品安装调试的逾期）。</w:t>
      </w:r>
    </w:p>
    <w:p w14:paraId="4E8D2253">
      <w:pPr>
        <w:spacing w:line="360" w:lineRule="auto"/>
        <w:ind w:firstLine="482" w:firstLineChars="200"/>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⑨产品入库检测、检验时发现大面积（同批次全部产品或不同批次同型号产品</w:t>
      </w:r>
      <w:r>
        <w:rPr>
          <w:rFonts w:hint="eastAsia" w:asciiTheme="minorEastAsia" w:hAnsiTheme="minorEastAsia" w:eastAsiaTheme="minorEastAsia"/>
          <w:b/>
          <w:bCs/>
          <w:color w:val="auto"/>
          <w:sz w:val="24"/>
          <w:szCs w:val="24"/>
          <w:highlight w:val="none"/>
          <w:u w:val="single"/>
        </w:rPr>
        <w:t>3</w:t>
      </w:r>
      <w:r>
        <w:rPr>
          <w:rFonts w:hint="eastAsia" w:asciiTheme="minorEastAsia" w:hAnsiTheme="minorEastAsia" w:eastAsiaTheme="minorEastAsia"/>
          <w:b/>
          <w:bCs/>
          <w:color w:val="auto"/>
          <w:sz w:val="24"/>
          <w:szCs w:val="24"/>
          <w:highlight w:val="none"/>
        </w:rPr>
        <w:t>%及以上）产品质量问题。</w:t>
      </w:r>
    </w:p>
    <w:p w14:paraId="383A70F8">
      <w:pPr>
        <w:spacing w:line="360" w:lineRule="auto"/>
        <w:ind w:firstLine="482" w:firstLineChars="200"/>
        <w:rPr>
          <w:rFonts w:hint="eastAsia" w:ascii="宋体" w:hAnsi="宋体"/>
          <w:b/>
          <w:bCs/>
          <w:color w:val="auto"/>
          <w:sz w:val="24"/>
          <w:szCs w:val="24"/>
          <w:highlight w:val="none"/>
        </w:rPr>
      </w:pPr>
      <w:r>
        <w:rPr>
          <w:rFonts w:hint="eastAsia" w:asciiTheme="minorEastAsia" w:hAnsiTheme="minorEastAsia" w:eastAsiaTheme="minorEastAsia"/>
          <w:b/>
          <w:bCs/>
          <w:color w:val="auto"/>
          <w:sz w:val="24"/>
          <w:szCs w:val="24"/>
          <w:highlight w:val="none"/>
        </w:rPr>
        <w:t>*5、</w:t>
      </w:r>
      <w:r>
        <w:rPr>
          <w:rFonts w:hint="eastAsia" w:ascii="宋体" w:hAnsi="宋体"/>
          <w:b/>
          <w:bCs/>
          <w:color w:val="auto"/>
          <w:sz w:val="24"/>
          <w:szCs w:val="24"/>
          <w:highlight w:val="none"/>
        </w:rPr>
        <w:t>投标人负责货物（设备）的安装，在接到买方或最终用户的安装要求后4个小时内安排安装服务人员到达指定地点进行安装调试，安装调试完成后三日内将最终用户确认的最终验收合格交付单及时反馈给买方。</w:t>
      </w:r>
    </w:p>
    <w:p w14:paraId="5902F7DD">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6、投标人应按《部分商品修理更换退货责任规定》规定执行售后服务，产品出现性能故障的，应严格按照《部分商品修理更换退货责任规定》处理。上述规定要求与本文件其他条款有不一致的，按对最终用户较有利的条款执行。</w:t>
      </w:r>
    </w:p>
    <w:p w14:paraId="634F1414">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*7、投标人应自合同设备经最终验收合格之日起对合同设备在保修期内提供免费维护的服务，保修期外提供有偿的维护服务。</w:t>
      </w:r>
    </w:p>
    <w:p w14:paraId="1007F06A">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*8、超出保修期的维修，投标人应向最终用户说明产品已过保，告知最终用户备件费、上门费及服务费，并向最终用户说明备件保修时间及保修方式，征得最终用户同意后再维修,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维修中收取的备件费、上门费及服务费等其它费用不得高于合同产品品牌官方标准（包含品牌官网标准、官方热线标准等），维修收费应根据买方或最终用户的要求提供发票。</w:t>
      </w:r>
    </w:p>
    <w:p w14:paraId="620A1286">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9、合同设备通过最终验收并交付后15天内出现故障，投标人应免费为最终用户更换同型号新整机；保修期内，发生产品性能故障维修2次及以上仍不能正常使用的，投标人应负责为最终用户免费更换同型号的新机。若合同设备的型号机器停产，投标人应与最终用户协商，更换其他型号的新机，更换的新机型性能不得低于故障机。换机后的新机，保修期限从换机之日起开始重新计算。因产品故障造成退、换机情况的，由投标人直接与最终用户办理退换机流程，并在5个工作日内送达最终用户处更换，不再经过买方仓库，投标人应将退换机涉及的相关单据、凭证等材料在退还后【5】日内交付给买方。</w:t>
      </w:r>
    </w:p>
    <w:p w14:paraId="5E17F7A3">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*10、投标人应为合同设备提供免费的上门安装调试服务，安装后产品故障保修由厦门当地维修站提供。</w:t>
      </w:r>
    </w:p>
    <w:p w14:paraId="462E56BF">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*11、在设备的质保期内买方在合同设备的使用过程中，如发现并经双方确认证实产品存在质量隐患或者有严重的质量问题，买方有权要求投标人退换受影响的产品，由此产生的运输费等直接费用由投标人承担。</w:t>
      </w:r>
    </w:p>
    <w:p w14:paraId="3FE10269">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*12、投标人应按最终用户的要求，每季度、每半年或每年一次，对合同设备进行保养服务，并将上门服务结果及时反馈给买方。</w:t>
      </w:r>
    </w:p>
    <w:p w14:paraId="5ACE63D0">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13、投标人在上门服务时，如果最终用户其它品牌设备出现故障需要投标人的工程师帮助解决，投标人的工程师不得拒绝最终用户的要求，在条件许可的前提下为最终用户服务；如果无法修复，应协助最终用户报修相应的技术售后服务网点或给出可行的解决方案供最终用户参考。</w:t>
      </w:r>
    </w:p>
    <w:p w14:paraId="0419FB29">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*14、投标人在厦门地区拥有充足的备品备件，可以保证合同设备在正常损坏情况下，及时给最终用户提供保修或更换；超出保修期的合同设备，投标人应保证在二年内能及时提供产品维修所需的备件。</w:t>
      </w:r>
    </w:p>
    <w:p w14:paraId="3DB9A7FC">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*15、投标人应为合同设备建立完整的客户档案，保修期内，当合同设备发生维修，而最终用户无法提供发票或保修卡时，投标人应根据自身留存的档案，为最终用户提供应有的保修服务。</w:t>
      </w:r>
    </w:p>
    <w:p w14:paraId="5CA2C684">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16、投标人应对合同设备进行100%的电话回访，每月初向买方提供上月的回访汇总报表及服务明细；当投标人在接到最终用户投诉时，要在分钟之内应响，个工作小时内开始处理，个工作日之内处理完；处理完最终用户的投诉，应及时将处理结果反馈给买方。</w:t>
      </w:r>
    </w:p>
    <w:p w14:paraId="55F53AC4">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*17、投标人应根据最终用户的需求开办合同设备的免费培训课程。</w:t>
      </w:r>
    </w:p>
    <w:p w14:paraId="525B16FA">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*18、投标人不得以任何方式对买方隐瞒和欺骗服务情况，买方需要投标人提供的报表不得有虚假，上门服务工程师不得以任何方式引导最终用户对买方回访的回答。</w:t>
      </w:r>
    </w:p>
    <w:p w14:paraId="7F9119B2">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*附件</w:t>
      </w:r>
      <w:r>
        <w:rPr>
          <w:rFonts w:ascii="宋体" w:hAnsi="宋体"/>
          <w:b/>
          <w:bCs/>
          <w:color w:val="auto"/>
          <w:sz w:val="24"/>
          <w:szCs w:val="24"/>
          <w:highlight w:val="none"/>
        </w:rPr>
        <w:t>2</w:t>
      </w:r>
      <w:r>
        <w:rPr>
          <w:rFonts w:hint="eastAsia" w:ascii="宋体" w:hAnsi="宋体"/>
          <w:b/>
          <w:bCs/>
          <w:color w:val="auto"/>
          <w:sz w:val="24"/>
          <w:szCs w:val="24"/>
          <w:highlight w:val="none"/>
        </w:rPr>
        <w:t>：服务考核细则</w:t>
      </w:r>
    </w:p>
    <w:p w14:paraId="33C7D40E">
      <w:pPr>
        <w:spacing w:line="360" w:lineRule="auto"/>
        <w:rPr>
          <w:rFonts w:hint="eastAsia" w:ascii="宋体" w:hAnsi="宋体"/>
          <w:color w:val="auto"/>
          <w:sz w:val="24"/>
          <w:szCs w:val="24"/>
          <w:highlight w:val="none"/>
        </w:rPr>
      </w:pPr>
    </w:p>
    <w:p w14:paraId="459E740B">
      <w:pPr>
        <w:adjustRightInd w:val="0"/>
        <w:snapToGrid w:val="0"/>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买方将定期对最终用户进行回访，跟踪了解产品的使用情况及卖方的售后服务质量，依照以上的服务承诺，制定以下考核细则。</w:t>
      </w:r>
      <w:r>
        <w:rPr>
          <w:rFonts w:hint="eastAsia" w:ascii="宋体" w:hAnsi="宋体"/>
          <w:b/>
          <w:color w:val="auto"/>
          <w:sz w:val="24"/>
          <w:szCs w:val="24"/>
          <w:highlight w:val="none"/>
        </w:rPr>
        <w:br w:type="textWrapping"/>
      </w:r>
      <w:r>
        <w:rPr>
          <w:rFonts w:hint="eastAsia" w:ascii="宋体" w:hAnsi="宋体"/>
          <w:b/>
          <w:color w:val="auto"/>
          <w:sz w:val="24"/>
          <w:szCs w:val="24"/>
          <w:highlight w:val="none"/>
        </w:rPr>
        <w:t>1、合同期内每月考核一次；</w:t>
      </w:r>
      <w:r>
        <w:rPr>
          <w:rFonts w:hint="eastAsia" w:ascii="宋体" w:hAnsi="宋体"/>
          <w:b/>
          <w:color w:val="auto"/>
          <w:sz w:val="24"/>
          <w:szCs w:val="24"/>
          <w:highlight w:val="none"/>
        </w:rPr>
        <w:br w:type="textWrapping"/>
      </w:r>
      <w:r>
        <w:rPr>
          <w:rFonts w:hint="eastAsia" w:ascii="宋体" w:hAnsi="宋体"/>
          <w:b/>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r>
        <w:rPr>
          <w:rFonts w:hint="eastAsia" w:ascii="宋体" w:hAnsi="宋体"/>
          <w:b/>
          <w:color w:val="auto"/>
          <w:sz w:val="24"/>
          <w:szCs w:val="24"/>
          <w:highlight w:val="none"/>
        </w:rPr>
        <w:br w:type="textWrapping"/>
      </w:r>
      <w:r>
        <w:rPr>
          <w:rFonts w:hint="eastAsia" w:ascii="宋体" w:hAnsi="宋体"/>
          <w:b/>
          <w:color w:val="auto"/>
          <w:sz w:val="24"/>
          <w:szCs w:val="24"/>
          <w:highlight w:val="none"/>
        </w:rPr>
        <w:t>3、买方有权从应付但未付给卖方的任一笔款项中，扣除考核结果中列明的违约金。</w:t>
      </w:r>
      <w:r>
        <w:rPr>
          <w:rFonts w:hint="eastAsia" w:ascii="宋体" w:hAnsi="宋体"/>
          <w:b/>
          <w:color w:val="auto"/>
          <w:sz w:val="24"/>
          <w:szCs w:val="24"/>
          <w:highlight w:val="none"/>
        </w:rPr>
        <w:br w:type="textWrapping"/>
      </w:r>
      <w:r>
        <w:rPr>
          <w:rFonts w:hint="eastAsia" w:ascii="宋体" w:hAnsi="宋体"/>
          <w:b/>
          <w:color w:val="auto"/>
          <w:sz w:val="24"/>
          <w:szCs w:val="24"/>
          <w:highlight w:val="none"/>
        </w:rPr>
        <w:t>4、具体违约金标准如下：</w:t>
      </w:r>
    </w:p>
    <w:p w14:paraId="4D71F7D4">
      <w:pPr>
        <w:adjustRightInd w:val="0"/>
        <w:snapToGrid w:val="0"/>
        <w:rPr>
          <w:rFonts w:hint="eastAsia" w:ascii="宋体" w:hAnsi="宋体"/>
          <w:b/>
          <w:color w:val="auto"/>
          <w:sz w:val="24"/>
          <w:szCs w:val="24"/>
          <w:highlight w:val="none"/>
        </w:rPr>
      </w:pPr>
    </w:p>
    <w:tbl>
      <w:tblPr>
        <w:tblStyle w:val="12"/>
        <w:tblW w:w="107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6"/>
        <w:gridCol w:w="719"/>
        <w:gridCol w:w="1314"/>
        <w:gridCol w:w="1038"/>
        <w:gridCol w:w="3257"/>
        <w:gridCol w:w="1787"/>
        <w:gridCol w:w="2139"/>
      </w:tblGrid>
      <w:tr w14:paraId="36EBD5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6A075AC5">
            <w:pPr>
              <w:keepNext w:val="0"/>
              <w:keepLines w:val="0"/>
              <w:widowControl/>
              <w:suppressLineNumbers w:val="0"/>
              <w:spacing w:before="0" w:beforeAutospacing="0" w:after="0" w:afterAutospacing="0"/>
              <w:ind w:left="0" w:right="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序号</w:t>
            </w:r>
          </w:p>
        </w:tc>
        <w:tc>
          <w:tcPr>
            <w:tcW w:w="719" w:type="dxa"/>
            <w:tcBorders>
              <w:top w:val="single" w:color="auto" w:sz="4" w:space="0"/>
              <w:left w:val="single" w:color="auto" w:sz="4" w:space="0"/>
              <w:bottom w:val="single" w:color="auto" w:sz="4" w:space="0"/>
              <w:right w:val="single" w:color="auto" w:sz="4" w:space="0"/>
            </w:tcBorders>
          </w:tcPr>
          <w:p w14:paraId="71865182">
            <w:pPr>
              <w:keepNext w:val="0"/>
              <w:keepLines w:val="0"/>
              <w:widowControl/>
              <w:suppressLineNumbers w:val="0"/>
              <w:spacing w:before="0" w:beforeAutospacing="0" w:after="0" w:afterAutospacing="0"/>
              <w:ind w:left="0" w:right="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考核项目</w:t>
            </w:r>
          </w:p>
        </w:tc>
        <w:tc>
          <w:tcPr>
            <w:tcW w:w="1314" w:type="dxa"/>
            <w:tcBorders>
              <w:top w:val="single" w:color="auto" w:sz="4" w:space="0"/>
              <w:left w:val="single" w:color="auto" w:sz="4" w:space="0"/>
              <w:bottom w:val="single" w:color="auto" w:sz="4" w:space="0"/>
              <w:right w:val="single" w:color="auto" w:sz="4" w:space="0"/>
            </w:tcBorders>
          </w:tcPr>
          <w:p w14:paraId="69A7D8DE">
            <w:pPr>
              <w:keepNext w:val="0"/>
              <w:keepLines w:val="0"/>
              <w:widowControl/>
              <w:suppressLineNumbers w:val="0"/>
              <w:spacing w:before="0" w:beforeAutospacing="0" w:after="0" w:afterAutospacing="0"/>
              <w:ind w:left="0" w:right="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考核说明</w:t>
            </w:r>
          </w:p>
        </w:tc>
        <w:tc>
          <w:tcPr>
            <w:tcW w:w="1038" w:type="dxa"/>
            <w:tcBorders>
              <w:top w:val="single" w:color="auto" w:sz="4" w:space="0"/>
              <w:left w:val="single" w:color="auto" w:sz="4" w:space="0"/>
              <w:bottom w:val="single" w:color="auto" w:sz="4" w:space="0"/>
              <w:right w:val="single" w:color="auto" w:sz="4" w:space="0"/>
            </w:tcBorders>
          </w:tcPr>
          <w:p w14:paraId="21A315D6">
            <w:pPr>
              <w:keepNext w:val="0"/>
              <w:keepLines w:val="0"/>
              <w:widowControl/>
              <w:suppressLineNumbers w:val="0"/>
              <w:spacing w:before="0" w:beforeAutospacing="0" w:after="0" w:afterAutospacing="0"/>
              <w:ind w:left="0" w:right="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涉及服务环节</w:t>
            </w:r>
          </w:p>
        </w:tc>
        <w:tc>
          <w:tcPr>
            <w:tcW w:w="3257" w:type="dxa"/>
            <w:tcBorders>
              <w:top w:val="single" w:color="auto" w:sz="4" w:space="0"/>
              <w:left w:val="single" w:color="auto" w:sz="4" w:space="0"/>
              <w:bottom w:val="single" w:color="auto" w:sz="4" w:space="0"/>
              <w:right w:val="single" w:color="auto" w:sz="4" w:space="0"/>
            </w:tcBorders>
          </w:tcPr>
          <w:p w14:paraId="66C60BB0">
            <w:pPr>
              <w:keepNext w:val="0"/>
              <w:keepLines w:val="0"/>
              <w:widowControl/>
              <w:suppressLineNumbers w:val="0"/>
              <w:spacing w:before="0" w:beforeAutospacing="0" w:after="0" w:afterAutospacing="0"/>
              <w:ind w:left="0" w:right="0" w:firstLine="42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供应商服务要求</w:t>
            </w:r>
          </w:p>
        </w:tc>
        <w:tc>
          <w:tcPr>
            <w:tcW w:w="1787" w:type="dxa"/>
            <w:tcBorders>
              <w:top w:val="single" w:color="auto" w:sz="4" w:space="0"/>
              <w:left w:val="single" w:color="auto" w:sz="4" w:space="0"/>
              <w:bottom w:val="single" w:color="auto" w:sz="4" w:space="0"/>
              <w:right w:val="single" w:color="auto" w:sz="4" w:space="0"/>
            </w:tcBorders>
            <w:noWrap/>
          </w:tcPr>
          <w:p w14:paraId="05BB79A6">
            <w:pPr>
              <w:keepNext w:val="0"/>
              <w:keepLines w:val="0"/>
              <w:widowControl/>
              <w:suppressLineNumbers w:val="0"/>
              <w:spacing w:before="0" w:beforeAutospacing="0" w:after="0" w:afterAutospacing="0"/>
              <w:ind w:left="0" w:right="0" w:firstLine="42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考核标准</w:t>
            </w:r>
          </w:p>
        </w:tc>
        <w:tc>
          <w:tcPr>
            <w:tcW w:w="2139" w:type="dxa"/>
            <w:tcBorders>
              <w:top w:val="single" w:color="auto" w:sz="4" w:space="0"/>
              <w:left w:val="single" w:color="auto" w:sz="4" w:space="0"/>
              <w:bottom w:val="single" w:color="auto" w:sz="4" w:space="0"/>
              <w:right w:val="single" w:color="auto" w:sz="4" w:space="0"/>
            </w:tcBorders>
            <w:noWrap/>
          </w:tcPr>
          <w:p w14:paraId="1F79160E">
            <w:pPr>
              <w:keepNext w:val="0"/>
              <w:keepLines w:val="0"/>
              <w:widowControl/>
              <w:suppressLineNumbers w:val="0"/>
              <w:spacing w:before="0" w:beforeAutospacing="0" w:after="0" w:afterAutospacing="0"/>
              <w:ind w:left="0" w:right="0" w:firstLine="420"/>
              <w:rPr>
                <w:rFonts w:hint="eastAsia" w:ascii="宋体" w:hAnsi="宋体" w:cs="宋体"/>
                <w:b/>
                <w:bCs/>
                <w:color w:val="auto"/>
                <w:kern w:val="0"/>
                <w:sz w:val="18"/>
                <w:szCs w:val="18"/>
                <w:highlight w:val="none"/>
              </w:rPr>
            </w:pPr>
            <w:r>
              <w:rPr>
                <w:rFonts w:hint="eastAsia" w:ascii="宋体" w:hAnsi="宋体" w:cs="宋体"/>
                <w:b/>
                <w:bCs/>
                <w:color w:val="auto"/>
                <w:kern w:val="0"/>
                <w:sz w:val="18"/>
                <w:szCs w:val="18"/>
                <w:highlight w:val="none"/>
              </w:rPr>
              <w:t>考核金额</w:t>
            </w:r>
          </w:p>
        </w:tc>
      </w:tr>
      <w:tr w14:paraId="37671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455E3500">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w:t>
            </w:r>
          </w:p>
        </w:tc>
        <w:tc>
          <w:tcPr>
            <w:tcW w:w="719" w:type="dxa"/>
            <w:vMerge w:val="restart"/>
            <w:tcBorders>
              <w:top w:val="single" w:color="auto" w:sz="4" w:space="0"/>
              <w:left w:val="single" w:color="auto" w:sz="4" w:space="0"/>
              <w:bottom w:val="single" w:color="auto" w:sz="4" w:space="0"/>
              <w:right w:val="single" w:color="auto" w:sz="4" w:space="0"/>
            </w:tcBorders>
          </w:tcPr>
          <w:p w14:paraId="606DD1AF">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服务效率</w:t>
            </w:r>
          </w:p>
        </w:tc>
        <w:tc>
          <w:tcPr>
            <w:tcW w:w="1314" w:type="dxa"/>
            <w:vMerge w:val="restart"/>
            <w:tcBorders>
              <w:top w:val="single" w:color="auto" w:sz="4" w:space="0"/>
              <w:left w:val="single" w:color="auto" w:sz="4" w:space="0"/>
              <w:bottom w:val="single" w:color="auto" w:sz="4" w:space="0"/>
              <w:right w:val="single" w:color="auto" w:sz="4" w:space="0"/>
            </w:tcBorders>
          </w:tcPr>
          <w:p w14:paraId="270700F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1、服务响应不及时或服务时间超出约定时间，且未提前与最终用户做好沟通，或未经最终用户同意。</w:t>
            </w:r>
          </w:p>
          <w:p w14:paraId="1DA4DF9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2、未在规定时间内解决最终用户的正当需求，最终用户要求但未提供备用机；</w:t>
            </w:r>
          </w:p>
          <w:p w14:paraId="6D6B89E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3、设备维修时超出约定时间仍未修复的；</w:t>
            </w:r>
          </w:p>
          <w:p w14:paraId="12828DC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4、需要提供服务的设备超出一台且满足上述任一条件的，按200元/台/次考核</w:t>
            </w:r>
          </w:p>
        </w:tc>
        <w:tc>
          <w:tcPr>
            <w:tcW w:w="1038" w:type="dxa"/>
            <w:tcBorders>
              <w:top w:val="single" w:color="auto" w:sz="4" w:space="0"/>
              <w:left w:val="single" w:color="auto" w:sz="4" w:space="0"/>
              <w:bottom w:val="single" w:color="auto" w:sz="4" w:space="0"/>
              <w:right w:val="single" w:color="auto" w:sz="4" w:space="0"/>
            </w:tcBorders>
          </w:tcPr>
          <w:p w14:paraId="721C755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电话响应时效</w:t>
            </w:r>
          </w:p>
        </w:tc>
        <w:tc>
          <w:tcPr>
            <w:tcW w:w="3257" w:type="dxa"/>
            <w:tcBorders>
              <w:top w:val="single" w:color="auto" w:sz="4" w:space="0"/>
              <w:left w:val="single" w:color="auto" w:sz="4" w:space="0"/>
              <w:bottom w:val="single" w:color="auto" w:sz="4" w:space="0"/>
              <w:right w:val="single" w:color="auto" w:sz="4" w:space="0"/>
            </w:tcBorders>
          </w:tcPr>
          <w:p w14:paraId="7B9501C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收到万翔客服专员通知后，在1个工作小时内联系客户约定上门时间；并及时将约定时间反馈给万翔客服专员。</w:t>
            </w:r>
          </w:p>
        </w:tc>
        <w:tc>
          <w:tcPr>
            <w:tcW w:w="1787" w:type="dxa"/>
            <w:tcBorders>
              <w:top w:val="single" w:color="auto" w:sz="4" w:space="0"/>
              <w:left w:val="single" w:color="auto" w:sz="4" w:space="0"/>
              <w:bottom w:val="single" w:color="auto" w:sz="4" w:space="0"/>
              <w:right w:val="single" w:color="auto" w:sz="4" w:space="0"/>
            </w:tcBorders>
          </w:tcPr>
          <w:p w14:paraId="6D91FE2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万翔客服专员报单后1个工作小时内</w:t>
            </w:r>
          </w:p>
        </w:tc>
        <w:tc>
          <w:tcPr>
            <w:tcW w:w="2139" w:type="dxa"/>
            <w:tcBorders>
              <w:top w:val="single" w:color="auto" w:sz="4" w:space="0"/>
              <w:left w:val="single" w:color="auto" w:sz="4" w:space="0"/>
              <w:bottom w:val="single" w:color="auto" w:sz="4" w:space="0"/>
              <w:right w:val="single" w:color="auto" w:sz="4" w:space="0"/>
            </w:tcBorders>
          </w:tcPr>
          <w:p w14:paraId="51B7A39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67037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7D49D13C">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0DDDB3D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19FB9EF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restart"/>
            <w:tcBorders>
              <w:top w:val="single" w:color="auto" w:sz="4" w:space="0"/>
              <w:left w:val="single" w:color="auto" w:sz="4" w:space="0"/>
              <w:bottom w:val="single" w:color="auto" w:sz="4" w:space="0"/>
              <w:right w:val="single" w:color="auto" w:sz="4" w:space="0"/>
            </w:tcBorders>
          </w:tcPr>
          <w:p w14:paraId="27C48C9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上门服务时效</w:t>
            </w:r>
          </w:p>
        </w:tc>
        <w:tc>
          <w:tcPr>
            <w:tcW w:w="3257" w:type="dxa"/>
            <w:vMerge w:val="restart"/>
            <w:tcBorders>
              <w:top w:val="single" w:color="auto" w:sz="4" w:space="0"/>
              <w:left w:val="single" w:color="auto" w:sz="4" w:space="0"/>
              <w:bottom w:val="single" w:color="auto" w:sz="4" w:space="0"/>
              <w:right w:val="single" w:color="auto" w:sz="4" w:space="0"/>
            </w:tcBorders>
          </w:tcPr>
          <w:p w14:paraId="5420787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按与客户约定时间上门服务；</w:t>
            </w:r>
          </w:p>
          <w:p w14:paraId="5F89799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如特殊情况不能按约定时间上门，必须提前联系最终用户且征得最终用户的同意，同时重新预约上门服务时间，并务必保证按此约定时间上门。</w:t>
            </w:r>
          </w:p>
        </w:tc>
        <w:tc>
          <w:tcPr>
            <w:tcW w:w="1787" w:type="dxa"/>
            <w:tcBorders>
              <w:top w:val="single" w:color="auto" w:sz="4" w:space="0"/>
              <w:left w:val="single" w:color="auto" w:sz="4" w:space="0"/>
              <w:bottom w:val="single" w:color="auto" w:sz="4" w:space="0"/>
              <w:right w:val="single" w:color="auto" w:sz="4" w:space="0"/>
            </w:tcBorders>
          </w:tcPr>
          <w:p w14:paraId="394D600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万翔客服专员报单后4个工作小时内</w:t>
            </w:r>
          </w:p>
        </w:tc>
        <w:tc>
          <w:tcPr>
            <w:tcW w:w="2139" w:type="dxa"/>
            <w:tcBorders>
              <w:top w:val="single" w:color="auto" w:sz="4" w:space="0"/>
              <w:left w:val="single" w:color="auto" w:sz="4" w:space="0"/>
              <w:bottom w:val="single" w:color="auto" w:sz="4" w:space="0"/>
              <w:right w:val="single" w:color="auto" w:sz="4" w:space="0"/>
            </w:tcBorders>
          </w:tcPr>
          <w:p w14:paraId="35A7B40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2E90AF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4258CB86">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6DE4F42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7C94BF7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14:paraId="739483C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3257" w:type="dxa"/>
            <w:vMerge w:val="continue"/>
            <w:tcBorders>
              <w:top w:val="single" w:color="auto" w:sz="4" w:space="0"/>
              <w:left w:val="single" w:color="auto" w:sz="4" w:space="0"/>
              <w:bottom w:val="single" w:color="auto" w:sz="4" w:space="0"/>
              <w:right w:val="single" w:color="auto" w:sz="4" w:space="0"/>
            </w:tcBorders>
            <w:vAlign w:val="center"/>
          </w:tcPr>
          <w:p w14:paraId="2A590CF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787" w:type="dxa"/>
            <w:tcBorders>
              <w:top w:val="single" w:color="auto" w:sz="4" w:space="0"/>
              <w:left w:val="single" w:color="auto" w:sz="4" w:space="0"/>
              <w:bottom w:val="single" w:color="auto" w:sz="4" w:space="0"/>
              <w:right w:val="single" w:color="auto" w:sz="4" w:space="0"/>
            </w:tcBorders>
          </w:tcPr>
          <w:p w14:paraId="773897D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因</w:t>
            </w:r>
            <w:r>
              <w:rPr>
                <w:rFonts w:hint="eastAsia" w:ascii="宋体" w:hAnsi="宋体" w:cs="宋体"/>
                <w:b/>
                <w:bCs/>
                <w:color w:val="auto"/>
                <w:kern w:val="0"/>
                <w:sz w:val="18"/>
                <w:szCs w:val="18"/>
                <w:highlight w:val="none"/>
              </w:rPr>
              <w:t>客户原因</w:t>
            </w:r>
            <w:r>
              <w:rPr>
                <w:rFonts w:hint="eastAsia" w:ascii="宋体" w:hAnsi="宋体" w:cs="宋体"/>
                <w:b/>
                <w:color w:val="auto"/>
                <w:kern w:val="0"/>
                <w:sz w:val="18"/>
                <w:szCs w:val="18"/>
                <w:highlight w:val="none"/>
              </w:rPr>
              <w:t>需延后上门时间并另外约定上门时间，需在承诺的时间内达到</w:t>
            </w:r>
          </w:p>
        </w:tc>
        <w:tc>
          <w:tcPr>
            <w:tcW w:w="2139" w:type="dxa"/>
            <w:tcBorders>
              <w:top w:val="single" w:color="auto" w:sz="4" w:space="0"/>
              <w:left w:val="single" w:color="auto" w:sz="4" w:space="0"/>
              <w:bottom w:val="single" w:color="auto" w:sz="4" w:space="0"/>
              <w:right w:val="single" w:color="auto" w:sz="4" w:space="0"/>
            </w:tcBorders>
          </w:tcPr>
          <w:p w14:paraId="20B09FE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383657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6FE15A60">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39655FB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53B14AA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restart"/>
            <w:tcBorders>
              <w:top w:val="single" w:color="auto" w:sz="4" w:space="0"/>
              <w:left w:val="single" w:color="auto" w:sz="4" w:space="0"/>
              <w:bottom w:val="single" w:color="auto" w:sz="4" w:space="0"/>
              <w:right w:val="single" w:color="auto" w:sz="4" w:space="0"/>
            </w:tcBorders>
          </w:tcPr>
          <w:p w14:paraId="349A3AD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维修时效</w:t>
            </w:r>
          </w:p>
        </w:tc>
        <w:tc>
          <w:tcPr>
            <w:tcW w:w="3257" w:type="dxa"/>
            <w:tcBorders>
              <w:top w:val="single" w:color="auto" w:sz="4" w:space="0"/>
              <w:left w:val="single" w:color="auto" w:sz="4" w:space="0"/>
              <w:bottom w:val="single" w:color="auto" w:sz="4" w:space="0"/>
              <w:right w:val="single" w:color="auto" w:sz="4" w:space="0"/>
            </w:tcBorders>
          </w:tcPr>
          <w:p w14:paraId="2B9D0C9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上门检测后需现场向最终用户说明故障情况并告知解决方案、如需调拨维修配件，需要告知最终用户配件更换时效并征得客户同意</w:t>
            </w:r>
          </w:p>
        </w:tc>
        <w:tc>
          <w:tcPr>
            <w:tcW w:w="1787" w:type="dxa"/>
            <w:tcBorders>
              <w:top w:val="single" w:color="auto" w:sz="4" w:space="0"/>
              <w:left w:val="single" w:color="auto" w:sz="4" w:space="0"/>
              <w:bottom w:val="single" w:color="auto" w:sz="4" w:space="0"/>
              <w:right w:val="single" w:color="auto" w:sz="4" w:space="0"/>
            </w:tcBorders>
          </w:tcPr>
          <w:p w14:paraId="05705AE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在承诺的时间内完成服务</w:t>
            </w:r>
          </w:p>
        </w:tc>
        <w:tc>
          <w:tcPr>
            <w:tcW w:w="2139" w:type="dxa"/>
            <w:tcBorders>
              <w:top w:val="single" w:color="auto" w:sz="4" w:space="0"/>
              <w:left w:val="single" w:color="auto" w:sz="4" w:space="0"/>
              <w:bottom w:val="single" w:color="auto" w:sz="4" w:space="0"/>
              <w:right w:val="single" w:color="auto" w:sz="4" w:space="0"/>
            </w:tcBorders>
          </w:tcPr>
          <w:p w14:paraId="3530741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5C75A9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7"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79AEEFEC">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797CBA6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297D5B9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14:paraId="377BA56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3257" w:type="dxa"/>
            <w:tcBorders>
              <w:top w:val="single" w:color="auto" w:sz="4" w:space="0"/>
              <w:left w:val="single" w:color="auto" w:sz="4" w:space="0"/>
              <w:bottom w:val="single" w:color="auto" w:sz="4" w:space="0"/>
              <w:right w:val="single" w:color="auto" w:sz="4" w:space="0"/>
            </w:tcBorders>
          </w:tcPr>
          <w:p w14:paraId="5F193C6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1787" w:type="dxa"/>
            <w:tcBorders>
              <w:top w:val="single" w:color="auto" w:sz="4" w:space="0"/>
              <w:left w:val="single" w:color="auto" w:sz="4" w:space="0"/>
              <w:bottom w:val="single" w:color="auto" w:sz="4" w:space="0"/>
              <w:right w:val="single" w:color="auto" w:sz="4" w:space="0"/>
            </w:tcBorders>
          </w:tcPr>
          <w:p w14:paraId="48ED694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向客户说明情况，告知客户提供备用机和退换机的解决方案，同时告知客户服务时效，并在承诺的时间内完成相应的服务内容。</w:t>
            </w:r>
          </w:p>
        </w:tc>
        <w:tc>
          <w:tcPr>
            <w:tcW w:w="2139" w:type="dxa"/>
            <w:tcBorders>
              <w:top w:val="single" w:color="auto" w:sz="4" w:space="0"/>
              <w:left w:val="single" w:color="auto" w:sz="4" w:space="0"/>
              <w:bottom w:val="single" w:color="auto" w:sz="4" w:space="0"/>
              <w:right w:val="single" w:color="auto" w:sz="4" w:space="0"/>
            </w:tcBorders>
          </w:tcPr>
          <w:p w14:paraId="6770A67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45E2E4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66A5C996">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6</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3BFA1B0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3BC5AB3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1CCD476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备用机提供时效</w:t>
            </w:r>
          </w:p>
        </w:tc>
        <w:tc>
          <w:tcPr>
            <w:tcW w:w="3257" w:type="dxa"/>
            <w:tcBorders>
              <w:top w:val="single" w:color="auto" w:sz="4" w:space="0"/>
              <w:left w:val="single" w:color="auto" w:sz="4" w:space="0"/>
              <w:bottom w:val="single" w:color="auto" w:sz="4" w:space="0"/>
              <w:right w:val="single" w:color="auto" w:sz="4" w:space="0"/>
            </w:tcBorders>
          </w:tcPr>
          <w:p w14:paraId="2C8E244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服务商自行提供备用机，按与客户约定时间完成服务</w:t>
            </w:r>
          </w:p>
        </w:tc>
        <w:tc>
          <w:tcPr>
            <w:tcW w:w="1787" w:type="dxa"/>
            <w:tcBorders>
              <w:top w:val="single" w:color="auto" w:sz="4" w:space="0"/>
              <w:left w:val="single" w:color="auto" w:sz="4" w:space="0"/>
              <w:bottom w:val="single" w:color="auto" w:sz="4" w:space="0"/>
              <w:right w:val="single" w:color="auto" w:sz="4" w:space="0"/>
            </w:tcBorders>
          </w:tcPr>
          <w:p w14:paraId="286B967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客户确认使用备用机后在1个工作日内提供备机</w:t>
            </w:r>
          </w:p>
        </w:tc>
        <w:tc>
          <w:tcPr>
            <w:tcW w:w="2139" w:type="dxa"/>
            <w:tcBorders>
              <w:top w:val="single" w:color="auto" w:sz="4" w:space="0"/>
              <w:left w:val="single" w:color="auto" w:sz="4" w:space="0"/>
              <w:bottom w:val="single" w:color="auto" w:sz="4" w:space="0"/>
              <w:right w:val="single" w:color="auto" w:sz="4" w:space="0"/>
            </w:tcBorders>
          </w:tcPr>
          <w:p w14:paraId="6F84E8A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0EE5B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5"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36378FCB">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7</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7BACD32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0B83043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restart"/>
            <w:tcBorders>
              <w:top w:val="single" w:color="auto" w:sz="4" w:space="0"/>
              <w:left w:val="single" w:color="auto" w:sz="4" w:space="0"/>
              <w:bottom w:val="single" w:color="auto" w:sz="4" w:space="0"/>
              <w:right w:val="single" w:color="auto" w:sz="4" w:space="0"/>
            </w:tcBorders>
          </w:tcPr>
          <w:p w14:paraId="282D1D3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换机服务时效</w:t>
            </w:r>
          </w:p>
        </w:tc>
        <w:tc>
          <w:tcPr>
            <w:tcW w:w="3257" w:type="dxa"/>
            <w:tcBorders>
              <w:top w:val="single" w:color="auto" w:sz="4" w:space="0"/>
              <w:left w:val="single" w:color="auto" w:sz="4" w:space="0"/>
              <w:bottom w:val="single" w:color="auto" w:sz="4" w:space="0"/>
              <w:right w:val="single" w:color="auto" w:sz="4" w:space="0"/>
            </w:tcBorders>
          </w:tcPr>
          <w:p w14:paraId="611B28A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确认换机后，在5个工作日内完成换机，如果超出5个工作日必须征得最终用户的同意，并在承诺的时间内完成服务</w:t>
            </w:r>
          </w:p>
        </w:tc>
        <w:tc>
          <w:tcPr>
            <w:tcW w:w="1787" w:type="dxa"/>
            <w:tcBorders>
              <w:top w:val="single" w:color="auto" w:sz="4" w:space="0"/>
              <w:left w:val="single" w:color="auto" w:sz="4" w:space="0"/>
              <w:bottom w:val="single" w:color="auto" w:sz="4" w:space="0"/>
              <w:right w:val="single" w:color="auto" w:sz="4" w:space="0"/>
            </w:tcBorders>
          </w:tcPr>
          <w:p w14:paraId="1EEB647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在承诺的时间内完成换机。</w:t>
            </w:r>
          </w:p>
        </w:tc>
        <w:tc>
          <w:tcPr>
            <w:tcW w:w="2139" w:type="dxa"/>
            <w:tcBorders>
              <w:top w:val="single" w:color="auto" w:sz="4" w:space="0"/>
              <w:left w:val="single" w:color="auto" w:sz="4" w:space="0"/>
              <w:bottom w:val="single" w:color="auto" w:sz="4" w:space="0"/>
              <w:right w:val="single" w:color="auto" w:sz="4" w:space="0"/>
            </w:tcBorders>
          </w:tcPr>
          <w:p w14:paraId="74CB5F1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400元/次+（N-1）*200元/台/次</w:t>
            </w:r>
          </w:p>
        </w:tc>
      </w:tr>
      <w:tr w14:paraId="0A103A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2"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1E978F4D">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8</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36B3088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0D00FCB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14:paraId="5D9901A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3257" w:type="dxa"/>
            <w:tcBorders>
              <w:top w:val="single" w:color="auto" w:sz="4" w:space="0"/>
              <w:left w:val="single" w:color="auto" w:sz="4" w:space="0"/>
              <w:bottom w:val="single" w:color="auto" w:sz="4" w:space="0"/>
              <w:right w:val="single" w:color="auto" w:sz="4" w:space="0"/>
            </w:tcBorders>
          </w:tcPr>
          <w:p w14:paraId="196B766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1787" w:type="dxa"/>
            <w:tcBorders>
              <w:top w:val="single" w:color="auto" w:sz="4" w:space="0"/>
              <w:left w:val="single" w:color="auto" w:sz="4" w:space="0"/>
              <w:bottom w:val="single" w:color="auto" w:sz="4" w:space="0"/>
              <w:right w:val="single" w:color="auto" w:sz="4" w:space="0"/>
            </w:tcBorders>
          </w:tcPr>
          <w:p w14:paraId="0068205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同意并给予客户换机。</w:t>
            </w:r>
          </w:p>
        </w:tc>
        <w:tc>
          <w:tcPr>
            <w:tcW w:w="2139" w:type="dxa"/>
            <w:tcBorders>
              <w:top w:val="single" w:color="auto" w:sz="4" w:space="0"/>
              <w:left w:val="single" w:color="auto" w:sz="4" w:space="0"/>
              <w:bottom w:val="single" w:color="auto" w:sz="4" w:space="0"/>
              <w:right w:val="single" w:color="auto" w:sz="4" w:space="0"/>
            </w:tcBorders>
          </w:tcPr>
          <w:p w14:paraId="57EF341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500元/台/次；同时在质保金中扣除换新机所需货款，由万翔直接给客户换机</w:t>
            </w:r>
          </w:p>
        </w:tc>
      </w:tr>
      <w:tr w14:paraId="29678A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32D00110">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9</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1D14589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2CA6B9A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3DDE437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验收报告/辅材发票提供时效</w:t>
            </w:r>
          </w:p>
        </w:tc>
        <w:tc>
          <w:tcPr>
            <w:tcW w:w="3257" w:type="dxa"/>
            <w:tcBorders>
              <w:top w:val="single" w:color="auto" w:sz="4" w:space="0"/>
              <w:left w:val="single" w:color="auto" w:sz="4" w:space="0"/>
              <w:bottom w:val="single" w:color="auto" w:sz="4" w:space="0"/>
              <w:right w:val="single" w:color="auto" w:sz="4" w:space="0"/>
            </w:tcBorders>
          </w:tcPr>
          <w:p w14:paraId="323B54A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收到万翔客服专员通知后，2个工作日内提供验收报告/辅材发票给最终用户。</w:t>
            </w:r>
          </w:p>
        </w:tc>
        <w:tc>
          <w:tcPr>
            <w:tcW w:w="1787" w:type="dxa"/>
            <w:tcBorders>
              <w:top w:val="single" w:color="auto" w:sz="4" w:space="0"/>
              <w:left w:val="single" w:color="auto" w:sz="4" w:space="0"/>
              <w:bottom w:val="single" w:color="auto" w:sz="4" w:space="0"/>
              <w:right w:val="single" w:color="auto" w:sz="4" w:space="0"/>
            </w:tcBorders>
          </w:tcPr>
          <w:p w14:paraId="220E881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万翔客服专员报单后2个工作日内</w:t>
            </w:r>
          </w:p>
        </w:tc>
        <w:tc>
          <w:tcPr>
            <w:tcW w:w="2139" w:type="dxa"/>
            <w:tcBorders>
              <w:top w:val="single" w:color="auto" w:sz="4" w:space="0"/>
              <w:left w:val="single" w:color="auto" w:sz="4" w:space="0"/>
              <w:bottom w:val="single" w:color="auto" w:sz="4" w:space="0"/>
              <w:right w:val="single" w:color="auto" w:sz="4" w:space="0"/>
            </w:tcBorders>
          </w:tcPr>
          <w:p w14:paraId="56429AC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400元/单/次，每逾期1个工作日按100元/单/工作日的标准加收违约金；</w:t>
            </w:r>
          </w:p>
        </w:tc>
      </w:tr>
      <w:tr w14:paraId="61C28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2"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317018B7">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10</w:t>
            </w:r>
          </w:p>
        </w:tc>
        <w:tc>
          <w:tcPr>
            <w:tcW w:w="719" w:type="dxa"/>
            <w:vMerge w:val="restart"/>
            <w:tcBorders>
              <w:top w:val="single" w:color="auto" w:sz="4" w:space="0"/>
              <w:left w:val="single" w:color="auto" w:sz="4" w:space="0"/>
              <w:bottom w:val="single" w:color="auto" w:sz="4" w:space="0"/>
              <w:right w:val="single" w:color="auto" w:sz="4" w:space="0"/>
            </w:tcBorders>
            <w:noWrap/>
          </w:tcPr>
          <w:p w14:paraId="74137224">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服务规范</w:t>
            </w:r>
          </w:p>
        </w:tc>
        <w:tc>
          <w:tcPr>
            <w:tcW w:w="1314" w:type="dxa"/>
            <w:vMerge w:val="restart"/>
            <w:tcBorders>
              <w:top w:val="single" w:color="auto" w:sz="4" w:space="0"/>
              <w:left w:val="single" w:color="auto" w:sz="4" w:space="0"/>
              <w:bottom w:val="single" w:color="auto" w:sz="4" w:space="0"/>
              <w:right w:val="single" w:color="auto" w:sz="4" w:space="0"/>
            </w:tcBorders>
          </w:tcPr>
          <w:p w14:paraId="7370852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038" w:type="dxa"/>
            <w:tcBorders>
              <w:top w:val="single" w:color="auto" w:sz="4" w:space="0"/>
              <w:left w:val="single" w:color="auto" w:sz="4" w:space="0"/>
              <w:bottom w:val="single" w:color="auto" w:sz="4" w:space="0"/>
              <w:right w:val="single" w:color="auto" w:sz="4" w:space="0"/>
            </w:tcBorders>
          </w:tcPr>
          <w:p w14:paraId="7994BF4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服务前的服务规范</w:t>
            </w:r>
          </w:p>
        </w:tc>
        <w:tc>
          <w:tcPr>
            <w:tcW w:w="3257" w:type="dxa"/>
            <w:tcBorders>
              <w:top w:val="single" w:color="auto" w:sz="4" w:space="0"/>
              <w:left w:val="single" w:color="auto" w:sz="4" w:space="0"/>
              <w:bottom w:val="single" w:color="auto" w:sz="4" w:space="0"/>
              <w:right w:val="single" w:color="auto" w:sz="4" w:space="0"/>
            </w:tcBorders>
          </w:tcPr>
          <w:p w14:paraId="2485A87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1）上门服务人员应着品牌工装；</w:t>
            </w:r>
          </w:p>
          <w:p w14:paraId="7ADB404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 2）安装/维修前应与最终用户核对机器型号、配置和台数；如维修需要向客户核实故障现象。</w:t>
            </w:r>
          </w:p>
          <w:p w14:paraId="5BDDD53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3）安装前检查确认外包装完好再拆箱安装；如有异常须及时向最终用户反馈并报备给万翔客服专员后，再进行开箱验机；</w:t>
            </w:r>
          </w:p>
          <w:p w14:paraId="72A68CA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4）安装/维修前应检查最终用户的电源电压是否安全稳定，如有问题，应及时告知最终用户，协商整改；</w:t>
            </w:r>
          </w:p>
          <w:p w14:paraId="4F1EEE8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5）由于服务单位自身原因造成多人或多次联系客户、或上门服务时发现由于自身原因不能提供服务（如上门服务发现未带物料、上门安装空调发现未取孔）；</w:t>
            </w:r>
          </w:p>
          <w:p w14:paraId="5718B92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6）上门安装/维修时发现由于环境复杂或安装/维修有难度，拒绝为客户提供服务。</w:t>
            </w:r>
          </w:p>
        </w:tc>
        <w:tc>
          <w:tcPr>
            <w:tcW w:w="1787" w:type="dxa"/>
            <w:tcBorders>
              <w:top w:val="single" w:color="auto" w:sz="4" w:space="0"/>
              <w:left w:val="single" w:color="auto" w:sz="4" w:space="0"/>
              <w:bottom w:val="single" w:color="auto" w:sz="4" w:space="0"/>
              <w:right w:val="single" w:color="auto" w:sz="4" w:space="0"/>
            </w:tcBorders>
          </w:tcPr>
          <w:p w14:paraId="146855B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任一条，发现未按规范</w:t>
            </w:r>
          </w:p>
        </w:tc>
        <w:tc>
          <w:tcPr>
            <w:tcW w:w="2139" w:type="dxa"/>
            <w:tcBorders>
              <w:top w:val="single" w:color="auto" w:sz="4" w:space="0"/>
              <w:left w:val="single" w:color="auto" w:sz="4" w:space="0"/>
              <w:bottom w:val="single" w:color="auto" w:sz="4" w:space="0"/>
              <w:right w:val="single" w:color="auto" w:sz="4" w:space="0"/>
            </w:tcBorders>
          </w:tcPr>
          <w:p w14:paraId="6887BC2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0F8DC2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351CE144">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11</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2D57852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747CAE2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30A8821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服务中的服务规范</w:t>
            </w:r>
          </w:p>
        </w:tc>
        <w:tc>
          <w:tcPr>
            <w:tcW w:w="3257" w:type="dxa"/>
            <w:tcBorders>
              <w:top w:val="single" w:color="auto" w:sz="4" w:space="0"/>
              <w:left w:val="single" w:color="auto" w:sz="4" w:space="0"/>
              <w:bottom w:val="single" w:color="auto" w:sz="4" w:space="0"/>
              <w:right w:val="single" w:color="auto" w:sz="4" w:space="0"/>
            </w:tcBorders>
          </w:tcPr>
          <w:p w14:paraId="674881B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1）安装过程中发现外包装完好，开箱出现货物内损则第一时间给最终用户换机处理，并报备给万翔客服专员；</w:t>
            </w:r>
          </w:p>
          <w:p w14:paraId="2AF31C2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2）检查每台机器的服务编号；</w:t>
            </w:r>
          </w:p>
          <w:p w14:paraId="3326DBC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3) 安装时如果发现设备异常，及时与客户进行沟通，待情况核实清楚后，再行安装； </w:t>
            </w:r>
          </w:p>
          <w:p w14:paraId="09FECD3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4）免费提供所有设备的安装调试（包括计算机操作系统及补丁等应用软件安装等服务），安装完成后要开机测试以确保设备能够正常使用；</w:t>
            </w:r>
          </w:p>
          <w:p w14:paraId="6692A01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5）协助最终用户安装外设等常用设备。并根据最终用户需求进行设置。</w:t>
            </w:r>
          </w:p>
          <w:p w14:paraId="4818ECA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6）安装位置必须保证设备的正常使用，如安装位置与客户要求不符，需要提前与客户沟通并找到适合的解决方案；</w:t>
            </w:r>
          </w:p>
          <w:p w14:paraId="6A6EF49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7）安装务必保障美观，不能出现设备安装歪斜、影响美观或影响设备正常使用等情况；</w:t>
            </w:r>
          </w:p>
          <w:p w14:paraId="52C8034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1787" w:type="dxa"/>
            <w:tcBorders>
              <w:top w:val="single" w:color="auto" w:sz="4" w:space="0"/>
              <w:left w:val="single" w:color="auto" w:sz="4" w:space="0"/>
              <w:bottom w:val="single" w:color="auto" w:sz="4" w:space="0"/>
              <w:right w:val="single" w:color="auto" w:sz="4" w:space="0"/>
            </w:tcBorders>
          </w:tcPr>
          <w:p w14:paraId="58FCD11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任一条，发现未按规范</w:t>
            </w:r>
          </w:p>
        </w:tc>
        <w:tc>
          <w:tcPr>
            <w:tcW w:w="2139" w:type="dxa"/>
            <w:tcBorders>
              <w:top w:val="single" w:color="auto" w:sz="4" w:space="0"/>
              <w:left w:val="single" w:color="auto" w:sz="4" w:space="0"/>
              <w:bottom w:val="single" w:color="auto" w:sz="4" w:space="0"/>
              <w:right w:val="single" w:color="auto" w:sz="4" w:space="0"/>
            </w:tcBorders>
          </w:tcPr>
          <w:p w14:paraId="74EA909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6DEE9A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3"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29E04C8C">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12</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36258B1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3C98DE0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6B56E30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服务后的服务规范</w:t>
            </w:r>
          </w:p>
        </w:tc>
        <w:tc>
          <w:tcPr>
            <w:tcW w:w="3257" w:type="dxa"/>
            <w:tcBorders>
              <w:top w:val="single" w:color="auto" w:sz="4" w:space="0"/>
              <w:left w:val="single" w:color="auto" w:sz="4" w:space="0"/>
              <w:bottom w:val="single" w:color="auto" w:sz="4" w:space="0"/>
              <w:right w:val="single" w:color="auto" w:sz="4" w:space="0"/>
            </w:tcBorders>
          </w:tcPr>
          <w:p w14:paraId="3928846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1)安装完毕，应和最终用户一起确认产品的正常运行。</w:t>
            </w:r>
          </w:p>
          <w:p w14:paraId="3C94A1A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br w:type="page"/>
            </w:r>
            <w:r>
              <w:rPr>
                <w:rFonts w:hint="eastAsia" w:ascii="宋体" w:hAnsi="宋体" w:cs="宋体"/>
                <w:b/>
                <w:color w:val="auto"/>
                <w:kern w:val="0"/>
                <w:sz w:val="18"/>
                <w:szCs w:val="18"/>
                <w:highlight w:val="none"/>
              </w:rPr>
              <w:t>2)安装完毕，并为每台机器注册信息, 应向最终用户详细讲解保修条例；如没有注册信息而导致机器在保修期内无法保修的情况，服务商要负责此维修费用。</w:t>
            </w:r>
          </w:p>
          <w:p w14:paraId="3258184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br w:type="page"/>
            </w:r>
            <w:r>
              <w:rPr>
                <w:rFonts w:hint="eastAsia" w:ascii="宋体" w:hAnsi="宋体" w:cs="宋体"/>
                <w:b/>
                <w:color w:val="auto"/>
                <w:kern w:val="0"/>
                <w:sz w:val="18"/>
                <w:szCs w:val="18"/>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r>
              <w:rPr>
                <w:rFonts w:hint="eastAsia" w:ascii="宋体" w:hAnsi="宋体" w:cs="宋体"/>
                <w:b/>
                <w:color w:val="auto"/>
                <w:kern w:val="0"/>
                <w:sz w:val="18"/>
                <w:szCs w:val="18"/>
                <w:highlight w:val="none"/>
              </w:rPr>
              <w:br w:type="page"/>
            </w:r>
          </w:p>
          <w:p w14:paraId="75D0D4C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4）安装/维修等服务结束后，应把工作现场打扫干净，将工具等物品复位，并将安装/维修过程中产生的垃圾带离现场。</w:t>
            </w:r>
          </w:p>
          <w:p w14:paraId="7E90864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br w:type="page"/>
            </w:r>
            <w:r>
              <w:rPr>
                <w:rFonts w:hint="eastAsia" w:ascii="宋体" w:hAnsi="宋体" w:cs="宋体"/>
                <w:b/>
                <w:color w:val="auto"/>
                <w:kern w:val="0"/>
                <w:sz w:val="18"/>
                <w:szCs w:val="18"/>
                <w:highlight w:val="none"/>
              </w:rPr>
              <w:t>5）安装完毕，应将《厦门市大宗货物政府采购供货验收单》按万翔网商要求打印并交给客户盖章、签字。</w:t>
            </w:r>
            <w:r>
              <w:rPr>
                <w:rFonts w:hint="eastAsia" w:ascii="宋体" w:hAnsi="宋体" w:cs="宋体"/>
                <w:b/>
                <w:color w:val="auto"/>
                <w:kern w:val="0"/>
                <w:sz w:val="18"/>
                <w:szCs w:val="18"/>
                <w:highlight w:val="none"/>
              </w:rPr>
              <w:br w:type="page"/>
            </w:r>
          </w:p>
        </w:tc>
        <w:tc>
          <w:tcPr>
            <w:tcW w:w="1787" w:type="dxa"/>
            <w:tcBorders>
              <w:top w:val="single" w:color="auto" w:sz="4" w:space="0"/>
              <w:left w:val="single" w:color="auto" w:sz="4" w:space="0"/>
              <w:bottom w:val="single" w:color="auto" w:sz="4" w:space="0"/>
              <w:right w:val="single" w:color="auto" w:sz="4" w:space="0"/>
            </w:tcBorders>
          </w:tcPr>
          <w:p w14:paraId="753DA69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任一条，发现未按规范</w:t>
            </w:r>
          </w:p>
        </w:tc>
        <w:tc>
          <w:tcPr>
            <w:tcW w:w="2139" w:type="dxa"/>
            <w:tcBorders>
              <w:top w:val="single" w:color="auto" w:sz="4" w:space="0"/>
              <w:left w:val="single" w:color="auto" w:sz="4" w:space="0"/>
              <w:bottom w:val="single" w:color="auto" w:sz="4" w:space="0"/>
              <w:right w:val="single" w:color="auto" w:sz="4" w:space="0"/>
            </w:tcBorders>
          </w:tcPr>
          <w:p w14:paraId="54668F7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5A8F6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041DFDF0">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677C80B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7A00A41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18942E7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服务仪表、态度</w:t>
            </w:r>
          </w:p>
        </w:tc>
        <w:tc>
          <w:tcPr>
            <w:tcW w:w="3257" w:type="dxa"/>
            <w:tcBorders>
              <w:top w:val="single" w:color="auto" w:sz="4" w:space="0"/>
              <w:left w:val="single" w:color="auto" w:sz="4" w:space="0"/>
              <w:bottom w:val="single" w:color="auto" w:sz="4" w:space="0"/>
              <w:right w:val="single" w:color="auto" w:sz="4" w:space="0"/>
            </w:tcBorders>
          </w:tcPr>
          <w:p w14:paraId="4F3632F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服务人员着装应规范，言语不生硬、不敷衍、态度好；妥善处理客户的不满情绪；</w:t>
            </w:r>
          </w:p>
        </w:tc>
        <w:tc>
          <w:tcPr>
            <w:tcW w:w="1787" w:type="dxa"/>
            <w:tcBorders>
              <w:top w:val="single" w:color="auto" w:sz="4" w:space="0"/>
              <w:left w:val="single" w:color="auto" w:sz="4" w:space="0"/>
              <w:bottom w:val="single" w:color="auto" w:sz="4" w:space="0"/>
              <w:right w:val="single" w:color="auto" w:sz="4" w:space="0"/>
            </w:tcBorders>
          </w:tcPr>
          <w:p w14:paraId="36ADBEF3">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139" w:type="dxa"/>
            <w:tcBorders>
              <w:top w:val="single" w:color="auto" w:sz="4" w:space="0"/>
              <w:left w:val="single" w:color="auto" w:sz="4" w:space="0"/>
              <w:bottom w:val="single" w:color="auto" w:sz="4" w:space="0"/>
              <w:right w:val="single" w:color="auto" w:sz="4" w:space="0"/>
            </w:tcBorders>
          </w:tcPr>
          <w:p w14:paraId="6632C7C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5C624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3"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36A2EEF8">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14</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7BE47EE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1B53B70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208AD1C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额外情况规范</w:t>
            </w:r>
          </w:p>
        </w:tc>
        <w:tc>
          <w:tcPr>
            <w:tcW w:w="3257" w:type="dxa"/>
            <w:tcBorders>
              <w:top w:val="single" w:color="auto" w:sz="4" w:space="0"/>
              <w:left w:val="single" w:color="auto" w:sz="4" w:space="0"/>
              <w:bottom w:val="single" w:color="auto" w:sz="4" w:space="0"/>
              <w:right w:val="single" w:color="auto" w:sz="4" w:space="0"/>
            </w:tcBorders>
          </w:tcPr>
          <w:p w14:paraId="0F02B421">
            <w:pPr>
              <w:keepNext w:val="0"/>
              <w:keepLines w:val="0"/>
              <w:widowControl/>
              <w:suppressLineNumbers w:val="0"/>
              <w:spacing w:before="0" w:beforeAutospacing="0" w:after="24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1）电话联系客户时间及上门服务时间必须在最终用户的正常工作时间内，已提前沟通且客户同意的情况下除外。</w:t>
            </w:r>
          </w:p>
          <w:p w14:paraId="17C71BA7">
            <w:pPr>
              <w:keepNext w:val="0"/>
              <w:keepLines w:val="0"/>
              <w:widowControl/>
              <w:suppressLineNumbers w:val="0"/>
              <w:spacing w:before="0" w:beforeAutospacing="0" w:after="24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1787" w:type="dxa"/>
            <w:tcBorders>
              <w:top w:val="single" w:color="auto" w:sz="4" w:space="0"/>
              <w:left w:val="single" w:color="auto" w:sz="4" w:space="0"/>
              <w:bottom w:val="single" w:color="auto" w:sz="4" w:space="0"/>
              <w:right w:val="single" w:color="auto" w:sz="4" w:space="0"/>
            </w:tcBorders>
          </w:tcPr>
          <w:p w14:paraId="440BAD1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139" w:type="dxa"/>
            <w:tcBorders>
              <w:top w:val="single" w:color="auto" w:sz="4" w:space="0"/>
              <w:left w:val="single" w:color="auto" w:sz="4" w:space="0"/>
              <w:bottom w:val="single" w:color="auto" w:sz="4" w:space="0"/>
              <w:right w:val="single" w:color="auto" w:sz="4" w:space="0"/>
            </w:tcBorders>
          </w:tcPr>
          <w:p w14:paraId="11A5191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7559A4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2"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48A5E40C">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15</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20932D7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1426523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5A32333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意外情况规范</w:t>
            </w:r>
          </w:p>
        </w:tc>
        <w:tc>
          <w:tcPr>
            <w:tcW w:w="3257" w:type="dxa"/>
            <w:tcBorders>
              <w:top w:val="single" w:color="auto" w:sz="4" w:space="0"/>
              <w:left w:val="single" w:color="auto" w:sz="4" w:space="0"/>
              <w:bottom w:val="single" w:color="auto" w:sz="4" w:space="0"/>
              <w:right w:val="single" w:color="auto" w:sz="4" w:space="0"/>
            </w:tcBorders>
          </w:tcPr>
          <w:p w14:paraId="5939BEA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1）服务过程中如有损坏客户物品，应及时与客户沟通赔偿方案，并在约定时间内进行赔偿。</w:t>
            </w:r>
          </w:p>
          <w:p w14:paraId="1D2A27F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2）安装的设备务必保证使用安全，不能出现在使用过程中掉落等意外情况；</w:t>
            </w:r>
          </w:p>
        </w:tc>
        <w:tc>
          <w:tcPr>
            <w:tcW w:w="1787" w:type="dxa"/>
            <w:tcBorders>
              <w:top w:val="single" w:color="auto" w:sz="4" w:space="0"/>
              <w:left w:val="single" w:color="auto" w:sz="4" w:space="0"/>
              <w:bottom w:val="single" w:color="auto" w:sz="4" w:space="0"/>
              <w:right w:val="single" w:color="auto" w:sz="4" w:space="0"/>
            </w:tcBorders>
          </w:tcPr>
          <w:p w14:paraId="11D5B48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139" w:type="dxa"/>
            <w:tcBorders>
              <w:top w:val="single" w:color="auto" w:sz="4" w:space="0"/>
              <w:left w:val="single" w:color="auto" w:sz="4" w:space="0"/>
              <w:bottom w:val="single" w:color="auto" w:sz="4" w:space="0"/>
              <w:right w:val="single" w:color="auto" w:sz="4" w:space="0"/>
            </w:tcBorders>
          </w:tcPr>
          <w:p w14:paraId="17AC73A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119E3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7107C87C">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16</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49E4F02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592AB9D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7E46AD3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备用机使用</w:t>
            </w:r>
          </w:p>
        </w:tc>
        <w:tc>
          <w:tcPr>
            <w:tcW w:w="3257" w:type="dxa"/>
            <w:tcBorders>
              <w:top w:val="single" w:color="auto" w:sz="4" w:space="0"/>
              <w:left w:val="single" w:color="auto" w:sz="4" w:space="0"/>
              <w:bottom w:val="single" w:color="auto" w:sz="4" w:space="0"/>
              <w:right w:val="single" w:color="auto" w:sz="4" w:space="0"/>
            </w:tcBorders>
          </w:tcPr>
          <w:p w14:paraId="50B51A8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1787" w:type="dxa"/>
            <w:tcBorders>
              <w:top w:val="single" w:color="auto" w:sz="4" w:space="0"/>
              <w:left w:val="single" w:color="auto" w:sz="4" w:space="0"/>
              <w:bottom w:val="single" w:color="auto" w:sz="4" w:space="0"/>
              <w:right w:val="single" w:color="auto" w:sz="4" w:space="0"/>
            </w:tcBorders>
          </w:tcPr>
          <w:p w14:paraId="5126BB1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未提供备用机的安装调试等；或者客户机子还未修复好，就要求客户归还备用机</w:t>
            </w:r>
          </w:p>
        </w:tc>
        <w:tc>
          <w:tcPr>
            <w:tcW w:w="2139" w:type="dxa"/>
            <w:tcBorders>
              <w:top w:val="single" w:color="auto" w:sz="4" w:space="0"/>
              <w:left w:val="single" w:color="auto" w:sz="4" w:space="0"/>
              <w:bottom w:val="single" w:color="auto" w:sz="4" w:space="0"/>
              <w:right w:val="single" w:color="auto" w:sz="4" w:space="0"/>
            </w:tcBorders>
          </w:tcPr>
          <w:p w14:paraId="48C52E7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58077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7A044449">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17</w:t>
            </w:r>
          </w:p>
        </w:tc>
        <w:tc>
          <w:tcPr>
            <w:tcW w:w="719" w:type="dxa"/>
            <w:tcBorders>
              <w:top w:val="single" w:color="auto" w:sz="4" w:space="0"/>
              <w:left w:val="single" w:color="auto" w:sz="4" w:space="0"/>
              <w:bottom w:val="single" w:color="auto" w:sz="4" w:space="0"/>
              <w:right w:val="single" w:color="auto" w:sz="4" w:space="0"/>
            </w:tcBorders>
          </w:tcPr>
          <w:p w14:paraId="2D12037B">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服务质量</w:t>
            </w:r>
          </w:p>
        </w:tc>
        <w:tc>
          <w:tcPr>
            <w:tcW w:w="1314" w:type="dxa"/>
            <w:tcBorders>
              <w:top w:val="single" w:color="auto" w:sz="4" w:space="0"/>
              <w:left w:val="single" w:color="auto" w:sz="4" w:space="0"/>
              <w:bottom w:val="single" w:color="auto" w:sz="4" w:space="0"/>
              <w:right w:val="single" w:color="auto" w:sz="4" w:space="0"/>
            </w:tcBorders>
          </w:tcPr>
          <w:p w14:paraId="316984B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服务人员不具备服务能力；</w:t>
            </w:r>
          </w:p>
          <w:p w14:paraId="45C4549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维修后一个月内又出现同样故障、或同一故障频繁重复再现；</w:t>
            </w:r>
          </w:p>
        </w:tc>
        <w:tc>
          <w:tcPr>
            <w:tcW w:w="1038" w:type="dxa"/>
            <w:tcBorders>
              <w:top w:val="single" w:color="auto" w:sz="4" w:space="0"/>
              <w:left w:val="single" w:color="auto" w:sz="4" w:space="0"/>
              <w:bottom w:val="single" w:color="auto" w:sz="4" w:space="0"/>
              <w:right w:val="single" w:color="auto" w:sz="4" w:space="0"/>
            </w:tcBorders>
          </w:tcPr>
          <w:p w14:paraId="3EAEAFA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客户报修频率</w:t>
            </w:r>
          </w:p>
        </w:tc>
        <w:tc>
          <w:tcPr>
            <w:tcW w:w="3257" w:type="dxa"/>
            <w:tcBorders>
              <w:top w:val="single" w:color="auto" w:sz="4" w:space="0"/>
              <w:left w:val="single" w:color="auto" w:sz="4" w:space="0"/>
              <w:bottom w:val="single" w:color="auto" w:sz="4" w:space="0"/>
              <w:right w:val="single" w:color="auto" w:sz="4" w:space="0"/>
            </w:tcBorders>
          </w:tcPr>
          <w:p w14:paraId="49BB873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1）一个月内再次出现同样故障。或者故障反复出现。</w:t>
            </w:r>
          </w:p>
          <w:p w14:paraId="2884D4F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2）明确由于服务引发的产品其他故障。</w:t>
            </w:r>
          </w:p>
          <w:p w14:paraId="0FEB0B4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3）服务人员上门后表示不会安装或维修，或安装/维修操作不熟练。</w:t>
            </w:r>
          </w:p>
        </w:tc>
        <w:tc>
          <w:tcPr>
            <w:tcW w:w="1787" w:type="dxa"/>
            <w:tcBorders>
              <w:top w:val="single" w:color="auto" w:sz="4" w:space="0"/>
              <w:left w:val="single" w:color="auto" w:sz="4" w:space="0"/>
              <w:bottom w:val="single" w:color="auto" w:sz="4" w:space="0"/>
              <w:right w:val="single" w:color="auto" w:sz="4" w:space="0"/>
            </w:tcBorders>
          </w:tcPr>
          <w:p w14:paraId="0D7814C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139" w:type="dxa"/>
            <w:tcBorders>
              <w:top w:val="single" w:color="auto" w:sz="4" w:space="0"/>
              <w:left w:val="single" w:color="auto" w:sz="4" w:space="0"/>
              <w:bottom w:val="single" w:color="auto" w:sz="4" w:space="0"/>
              <w:right w:val="single" w:color="auto" w:sz="4" w:space="0"/>
            </w:tcBorders>
          </w:tcPr>
          <w:p w14:paraId="03FCABA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400元/次</w:t>
            </w:r>
          </w:p>
        </w:tc>
      </w:tr>
      <w:tr w14:paraId="48C3C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9"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199B5205">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18</w:t>
            </w:r>
          </w:p>
        </w:tc>
        <w:tc>
          <w:tcPr>
            <w:tcW w:w="719" w:type="dxa"/>
            <w:tcBorders>
              <w:top w:val="single" w:color="auto" w:sz="4" w:space="0"/>
              <w:left w:val="single" w:color="auto" w:sz="4" w:space="0"/>
              <w:bottom w:val="single" w:color="auto" w:sz="4" w:space="0"/>
              <w:right w:val="single" w:color="auto" w:sz="4" w:space="0"/>
            </w:tcBorders>
          </w:tcPr>
          <w:p w14:paraId="7AC384D3">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收费</w:t>
            </w:r>
          </w:p>
        </w:tc>
        <w:tc>
          <w:tcPr>
            <w:tcW w:w="1314" w:type="dxa"/>
            <w:tcBorders>
              <w:top w:val="single" w:color="auto" w:sz="4" w:space="0"/>
              <w:left w:val="single" w:color="auto" w:sz="4" w:space="0"/>
              <w:bottom w:val="single" w:color="auto" w:sz="4" w:space="0"/>
              <w:right w:val="single" w:color="auto" w:sz="4" w:space="0"/>
            </w:tcBorders>
          </w:tcPr>
          <w:p w14:paraId="12856FB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未按合同规定操作，未提前与最终用户沟通收费标准，多收费或乱收费</w:t>
            </w:r>
          </w:p>
        </w:tc>
        <w:tc>
          <w:tcPr>
            <w:tcW w:w="1038" w:type="dxa"/>
            <w:tcBorders>
              <w:top w:val="single" w:color="auto" w:sz="4" w:space="0"/>
              <w:left w:val="single" w:color="auto" w:sz="4" w:space="0"/>
              <w:bottom w:val="single" w:color="auto" w:sz="4" w:space="0"/>
              <w:right w:val="single" w:color="auto" w:sz="4" w:space="0"/>
            </w:tcBorders>
          </w:tcPr>
          <w:p w14:paraId="13E1A79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收费项目</w:t>
            </w:r>
          </w:p>
        </w:tc>
        <w:tc>
          <w:tcPr>
            <w:tcW w:w="3257" w:type="dxa"/>
            <w:tcBorders>
              <w:top w:val="single" w:color="auto" w:sz="4" w:space="0"/>
              <w:left w:val="single" w:color="auto" w:sz="4" w:space="0"/>
              <w:bottom w:val="single" w:color="auto" w:sz="4" w:space="0"/>
              <w:right w:val="single" w:color="auto" w:sz="4" w:space="0"/>
            </w:tcBorders>
          </w:tcPr>
          <w:p w14:paraId="27CAE481">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p>
          <w:p w14:paraId="74A007B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2）报价时应向客户提供清单明细，包括规格型号、单价、数量、总价、保修时间（如有）、保修方式（如有）；</w:t>
            </w:r>
          </w:p>
          <w:p w14:paraId="43783EA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3）提供服务前必须征得最终用户的同意；不能出现服务完成后才告知客户需要收费。</w:t>
            </w:r>
          </w:p>
        </w:tc>
        <w:tc>
          <w:tcPr>
            <w:tcW w:w="1787" w:type="dxa"/>
            <w:tcBorders>
              <w:top w:val="single" w:color="auto" w:sz="4" w:space="0"/>
              <w:left w:val="single" w:color="auto" w:sz="4" w:space="0"/>
              <w:bottom w:val="single" w:color="auto" w:sz="4" w:space="0"/>
              <w:right w:val="single" w:color="auto" w:sz="4" w:space="0"/>
            </w:tcBorders>
          </w:tcPr>
          <w:p w14:paraId="7B547C5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客户反馈属实。</w:t>
            </w:r>
          </w:p>
        </w:tc>
        <w:tc>
          <w:tcPr>
            <w:tcW w:w="2139" w:type="dxa"/>
            <w:tcBorders>
              <w:top w:val="single" w:color="auto" w:sz="4" w:space="0"/>
              <w:left w:val="single" w:color="auto" w:sz="4" w:space="0"/>
              <w:bottom w:val="single" w:color="auto" w:sz="4" w:space="0"/>
              <w:right w:val="single" w:color="auto" w:sz="4" w:space="0"/>
            </w:tcBorders>
          </w:tcPr>
          <w:p w14:paraId="7F3E25A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7B52B8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32979161">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19</w:t>
            </w:r>
          </w:p>
        </w:tc>
        <w:tc>
          <w:tcPr>
            <w:tcW w:w="719" w:type="dxa"/>
            <w:vMerge w:val="restart"/>
            <w:tcBorders>
              <w:top w:val="single" w:color="auto" w:sz="4" w:space="0"/>
              <w:left w:val="single" w:color="auto" w:sz="4" w:space="0"/>
              <w:bottom w:val="single" w:color="auto" w:sz="4" w:space="0"/>
              <w:right w:val="single" w:color="auto" w:sz="4" w:space="0"/>
            </w:tcBorders>
          </w:tcPr>
          <w:p w14:paraId="22D2C8EE">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验收报告回收时效</w:t>
            </w:r>
          </w:p>
        </w:tc>
        <w:tc>
          <w:tcPr>
            <w:tcW w:w="1314" w:type="dxa"/>
            <w:vMerge w:val="restart"/>
            <w:tcBorders>
              <w:top w:val="single" w:color="auto" w:sz="4" w:space="0"/>
              <w:left w:val="single" w:color="auto" w:sz="4" w:space="0"/>
              <w:bottom w:val="single" w:color="auto" w:sz="4" w:space="0"/>
              <w:right w:val="single" w:color="auto" w:sz="4" w:space="0"/>
            </w:tcBorders>
          </w:tcPr>
          <w:p w14:paraId="73B0D5F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未按合同规定，安装调试完成后应及时反馈给买方，并按照买方要求由最终用户填写《验收报告》，三个工作日内报送给买方。超过5个工作日仍未回收的，按每逾期一天10元/单的标准加收违约金。</w:t>
            </w:r>
          </w:p>
        </w:tc>
        <w:tc>
          <w:tcPr>
            <w:tcW w:w="1038" w:type="dxa"/>
            <w:tcBorders>
              <w:top w:val="single" w:color="auto" w:sz="4" w:space="0"/>
              <w:left w:val="single" w:color="auto" w:sz="4" w:space="0"/>
              <w:bottom w:val="single" w:color="auto" w:sz="4" w:space="0"/>
              <w:right w:val="single" w:color="auto" w:sz="4" w:space="0"/>
            </w:tcBorders>
          </w:tcPr>
          <w:p w14:paraId="04135B1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提供给最终用户验收报告的时效</w:t>
            </w:r>
          </w:p>
        </w:tc>
        <w:tc>
          <w:tcPr>
            <w:tcW w:w="3257" w:type="dxa"/>
            <w:tcBorders>
              <w:top w:val="single" w:color="auto" w:sz="4" w:space="0"/>
              <w:left w:val="single" w:color="auto" w:sz="4" w:space="0"/>
              <w:bottom w:val="single" w:color="auto" w:sz="4" w:space="0"/>
              <w:right w:val="single" w:color="auto" w:sz="4" w:space="0"/>
            </w:tcBorders>
          </w:tcPr>
          <w:p w14:paraId="7E0F8A6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1）安装完成后及时提供“验收报告”给最终用户，其中“客户联”留给客户，将其他联在2个工作日内（安装调试完毕后，次日算第一天）回收；</w:t>
            </w:r>
          </w:p>
          <w:p w14:paraId="41EA827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2）如验收报告超出约定时间提供，必须提前与最终用户做好沟通并征得最终用户的同意。</w:t>
            </w:r>
          </w:p>
        </w:tc>
        <w:tc>
          <w:tcPr>
            <w:tcW w:w="1787" w:type="dxa"/>
            <w:tcBorders>
              <w:top w:val="single" w:color="auto" w:sz="4" w:space="0"/>
              <w:left w:val="single" w:color="auto" w:sz="4" w:space="0"/>
              <w:bottom w:val="single" w:color="auto" w:sz="4" w:space="0"/>
              <w:right w:val="single" w:color="auto" w:sz="4" w:space="0"/>
            </w:tcBorders>
          </w:tcPr>
          <w:p w14:paraId="61C5B23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安装后超过2个工作日客户催验收报告。</w:t>
            </w:r>
          </w:p>
        </w:tc>
        <w:tc>
          <w:tcPr>
            <w:tcW w:w="2139" w:type="dxa"/>
            <w:tcBorders>
              <w:top w:val="single" w:color="auto" w:sz="4" w:space="0"/>
              <w:left w:val="single" w:color="auto" w:sz="4" w:space="0"/>
              <w:bottom w:val="single" w:color="auto" w:sz="4" w:space="0"/>
              <w:right w:val="single" w:color="auto" w:sz="4" w:space="0"/>
            </w:tcBorders>
          </w:tcPr>
          <w:p w14:paraId="1AA9EE7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200元/次+（N-1）*10元/台/次</w:t>
            </w:r>
          </w:p>
        </w:tc>
      </w:tr>
      <w:tr w14:paraId="2B5AEB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34E651AA">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7CEC97F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2EAE674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58D1C46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提供客户签盖的验收报告给万翔</w:t>
            </w:r>
          </w:p>
        </w:tc>
        <w:tc>
          <w:tcPr>
            <w:tcW w:w="3257" w:type="dxa"/>
            <w:tcBorders>
              <w:top w:val="single" w:color="auto" w:sz="4" w:space="0"/>
              <w:left w:val="single" w:color="auto" w:sz="4" w:space="0"/>
              <w:bottom w:val="single" w:color="auto" w:sz="4" w:space="0"/>
              <w:right w:val="single" w:color="auto" w:sz="4" w:space="0"/>
            </w:tcBorders>
          </w:tcPr>
          <w:p w14:paraId="16BDFE9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1787" w:type="dxa"/>
            <w:tcBorders>
              <w:top w:val="single" w:color="auto" w:sz="4" w:space="0"/>
              <w:left w:val="single" w:color="auto" w:sz="4" w:space="0"/>
              <w:bottom w:val="single" w:color="auto" w:sz="4" w:space="0"/>
              <w:right w:val="single" w:color="auto" w:sz="4" w:space="0"/>
            </w:tcBorders>
          </w:tcPr>
          <w:p w14:paraId="14F8C57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安装后超过5个工作日万翔网商未收到验收报告</w:t>
            </w:r>
          </w:p>
        </w:tc>
        <w:tc>
          <w:tcPr>
            <w:tcW w:w="2139" w:type="dxa"/>
            <w:tcBorders>
              <w:top w:val="single" w:color="auto" w:sz="4" w:space="0"/>
              <w:left w:val="single" w:color="auto" w:sz="4" w:space="0"/>
              <w:bottom w:val="single" w:color="auto" w:sz="4" w:space="0"/>
              <w:right w:val="single" w:color="auto" w:sz="4" w:space="0"/>
            </w:tcBorders>
          </w:tcPr>
          <w:p w14:paraId="289B101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200元/次+（N-1）*10元/台/次</w:t>
            </w:r>
          </w:p>
        </w:tc>
      </w:tr>
      <w:tr w14:paraId="58CCA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3613C3C1">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21</w:t>
            </w:r>
          </w:p>
        </w:tc>
        <w:tc>
          <w:tcPr>
            <w:tcW w:w="719" w:type="dxa"/>
            <w:vMerge w:val="restart"/>
            <w:tcBorders>
              <w:top w:val="single" w:color="auto" w:sz="4" w:space="0"/>
              <w:left w:val="single" w:color="auto" w:sz="4" w:space="0"/>
              <w:bottom w:val="single" w:color="auto" w:sz="4" w:space="0"/>
              <w:right w:val="single" w:color="auto" w:sz="4" w:space="0"/>
            </w:tcBorders>
          </w:tcPr>
          <w:p w14:paraId="381149A6">
            <w:pPr>
              <w:keepNext w:val="0"/>
              <w:keepLines w:val="0"/>
              <w:widowControl/>
              <w:suppressLineNumbers w:val="0"/>
              <w:spacing w:before="0" w:beforeAutospacing="0" w:after="0" w:afterAutospacing="0"/>
              <w:ind w:left="0" w:right="0"/>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信息反馈</w:t>
            </w:r>
          </w:p>
        </w:tc>
        <w:tc>
          <w:tcPr>
            <w:tcW w:w="1314" w:type="dxa"/>
            <w:vMerge w:val="restart"/>
            <w:tcBorders>
              <w:top w:val="single" w:color="auto" w:sz="4" w:space="0"/>
              <w:left w:val="single" w:color="auto" w:sz="4" w:space="0"/>
              <w:bottom w:val="single" w:color="auto" w:sz="4" w:space="0"/>
              <w:right w:val="single" w:color="auto" w:sz="4" w:space="0"/>
            </w:tcBorders>
          </w:tcPr>
          <w:p w14:paraId="0AA4F54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未按买方要求反馈所需报表，或所提供报表信息存在虚假的问题。</w:t>
            </w:r>
          </w:p>
        </w:tc>
        <w:tc>
          <w:tcPr>
            <w:tcW w:w="1038" w:type="dxa"/>
            <w:tcBorders>
              <w:top w:val="single" w:color="auto" w:sz="4" w:space="0"/>
              <w:left w:val="single" w:color="auto" w:sz="4" w:space="0"/>
              <w:bottom w:val="single" w:color="auto" w:sz="4" w:space="0"/>
              <w:right w:val="single" w:color="auto" w:sz="4" w:space="0"/>
            </w:tcBorders>
          </w:tcPr>
          <w:p w14:paraId="7AEEE6D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服务商操作平台进度回复</w:t>
            </w:r>
          </w:p>
        </w:tc>
        <w:tc>
          <w:tcPr>
            <w:tcW w:w="3257" w:type="dxa"/>
            <w:tcBorders>
              <w:top w:val="single" w:color="auto" w:sz="4" w:space="0"/>
              <w:left w:val="single" w:color="auto" w:sz="4" w:space="0"/>
              <w:bottom w:val="single" w:color="auto" w:sz="4" w:space="0"/>
              <w:right w:val="single" w:color="auto" w:sz="4" w:space="0"/>
            </w:tcBorders>
          </w:tcPr>
          <w:p w14:paraId="4357AA1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在收到买方派单后且在服务完成后一个工作日内进行回复</w:t>
            </w:r>
          </w:p>
        </w:tc>
        <w:tc>
          <w:tcPr>
            <w:tcW w:w="1787" w:type="dxa"/>
            <w:tcBorders>
              <w:top w:val="single" w:color="auto" w:sz="4" w:space="0"/>
              <w:left w:val="single" w:color="auto" w:sz="4" w:space="0"/>
              <w:bottom w:val="single" w:color="auto" w:sz="4" w:space="0"/>
              <w:right w:val="single" w:color="auto" w:sz="4" w:space="0"/>
            </w:tcBorders>
            <w:noWrap/>
          </w:tcPr>
          <w:p w14:paraId="370BCB9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回复不及时、虚假信息等</w:t>
            </w:r>
          </w:p>
        </w:tc>
        <w:tc>
          <w:tcPr>
            <w:tcW w:w="2139" w:type="dxa"/>
            <w:tcBorders>
              <w:top w:val="single" w:color="auto" w:sz="4" w:space="0"/>
              <w:left w:val="single" w:color="auto" w:sz="4" w:space="0"/>
              <w:bottom w:val="single" w:color="auto" w:sz="4" w:space="0"/>
              <w:right w:val="single" w:color="auto" w:sz="4" w:space="0"/>
            </w:tcBorders>
          </w:tcPr>
          <w:p w14:paraId="67DFBDE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36D628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7CAEB6F5">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22</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00B7861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018D8F3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6033F36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日常售后回复信息</w:t>
            </w:r>
          </w:p>
        </w:tc>
        <w:tc>
          <w:tcPr>
            <w:tcW w:w="3257" w:type="dxa"/>
            <w:tcBorders>
              <w:top w:val="single" w:color="auto" w:sz="4" w:space="0"/>
              <w:left w:val="single" w:color="auto" w:sz="4" w:space="0"/>
              <w:bottom w:val="single" w:color="auto" w:sz="4" w:space="0"/>
              <w:right w:val="single" w:color="auto" w:sz="4" w:space="0"/>
            </w:tcBorders>
          </w:tcPr>
          <w:p w14:paraId="655DDC6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在收到买方派单后应按照合同要求及时进行回复</w:t>
            </w:r>
          </w:p>
        </w:tc>
        <w:tc>
          <w:tcPr>
            <w:tcW w:w="1787" w:type="dxa"/>
            <w:tcBorders>
              <w:top w:val="single" w:color="auto" w:sz="4" w:space="0"/>
              <w:left w:val="single" w:color="auto" w:sz="4" w:space="0"/>
              <w:bottom w:val="single" w:color="auto" w:sz="4" w:space="0"/>
              <w:right w:val="single" w:color="auto" w:sz="4" w:space="0"/>
            </w:tcBorders>
            <w:noWrap/>
          </w:tcPr>
          <w:p w14:paraId="0AB60D3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催安装、报修、退换货等售后需求，处理情况虚假等</w:t>
            </w:r>
          </w:p>
        </w:tc>
        <w:tc>
          <w:tcPr>
            <w:tcW w:w="2139" w:type="dxa"/>
            <w:tcBorders>
              <w:top w:val="single" w:color="auto" w:sz="4" w:space="0"/>
              <w:left w:val="single" w:color="auto" w:sz="4" w:space="0"/>
              <w:bottom w:val="single" w:color="auto" w:sz="4" w:space="0"/>
              <w:right w:val="single" w:color="auto" w:sz="4" w:space="0"/>
            </w:tcBorders>
          </w:tcPr>
          <w:p w14:paraId="673EC4B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5D6F9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428CF07B">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23</w:t>
            </w:r>
          </w:p>
        </w:tc>
        <w:tc>
          <w:tcPr>
            <w:tcW w:w="719" w:type="dxa"/>
            <w:vMerge w:val="continue"/>
            <w:tcBorders>
              <w:top w:val="single" w:color="auto" w:sz="4" w:space="0"/>
              <w:left w:val="single" w:color="auto" w:sz="4" w:space="0"/>
              <w:bottom w:val="single" w:color="auto" w:sz="4" w:space="0"/>
              <w:right w:val="single" w:color="auto" w:sz="4" w:space="0"/>
            </w:tcBorders>
            <w:vAlign w:val="center"/>
          </w:tcPr>
          <w:p w14:paraId="3CE2B5C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14:paraId="579627C4">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038" w:type="dxa"/>
            <w:tcBorders>
              <w:top w:val="single" w:color="auto" w:sz="4" w:space="0"/>
              <w:left w:val="single" w:color="auto" w:sz="4" w:space="0"/>
              <w:bottom w:val="single" w:color="auto" w:sz="4" w:space="0"/>
              <w:right w:val="single" w:color="auto" w:sz="4" w:space="0"/>
            </w:tcBorders>
          </w:tcPr>
          <w:p w14:paraId="38B47E0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其他万翔要求提供的信息</w:t>
            </w:r>
          </w:p>
        </w:tc>
        <w:tc>
          <w:tcPr>
            <w:tcW w:w="3257" w:type="dxa"/>
            <w:tcBorders>
              <w:top w:val="single" w:color="auto" w:sz="4" w:space="0"/>
              <w:left w:val="single" w:color="auto" w:sz="4" w:space="0"/>
              <w:bottom w:val="single" w:color="auto" w:sz="4" w:space="0"/>
              <w:right w:val="single" w:color="auto" w:sz="4" w:space="0"/>
            </w:tcBorders>
          </w:tcPr>
          <w:p w14:paraId="72F183F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在收到买方派单后应按照合同要求及时进行回复</w:t>
            </w:r>
          </w:p>
        </w:tc>
        <w:tc>
          <w:tcPr>
            <w:tcW w:w="1787" w:type="dxa"/>
            <w:tcBorders>
              <w:top w:val="single" w:color="auto" w:sz="4" w:space="0"/>
              <w:left w:val="single" w:color="auto" w:sz="4" w:space="0"/>
              <w:bottom w:val="single" w:color="auto" w:sz="4" w:space="0"/>
              <w:right w:val="single" w:color="auto" w:sz="4" w:space="0"/>
            </w:tcBorders>
            <w:noWrap/>
          </w:tcPr>
          <w:p w14:paraId="5F68D25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信息虚假等</w:t>
            </w:r>
          </w:p>
        </w:tc>
        <w:tc>
          <w:tcPr>
            <w:tcW w:w="2139" w:type="dxa"/>
            <w:tcBorders>
              <w:top w:val="single" w:color="auto" w:sz="4" w:space="0"/>
              <w:left w:val="single" w:color="auto" w:sz="4" w:space="0"/>
              <w:bottom w:val="single" w:color="auto" w:sz="4" w:space="0"/>
              <w:right w:val="single" w:color="auto" w:sz="4" w:space="0"/>
            </w:tcBorders>
          </w:tcPr>
          <w:p w14:paraId="6878668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500元/次</w:t>
            </w:r>
          </w:p>
        </w:tc>
      </w:tr>
      <w:tr w14:paraId="64398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18F71F84">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24</w:t>
            </w:r>
          </w:p>
        </w:tc>
        <w:tc>
          <w:tcPr>
            <w:tcW w:w="719" w:type="dxa"/>
            <w:vMerge w:val="restart"/>
            <w:tcBorders>
              <w:top w:val="single" w:color="auto" w:sz="4" w:space="0"/>
              <w:left w:val="single" w:color="auto" w:sz="4" w:space="0"/>
              <w:bottom w:val="single" w:color="000000" w:sz="4" w:space="0"/>
              <w:right w:val="single" w:color="auto" w:sz="4" w:space="0"/>
            </w:tcBorders>
          </w:tcPr>
          <w:p w14:paraId="5C6ADE39">
            <w:pPr>
              <w:keepNext w:val="0"/>
              <w:keepLines w:val="0"/>
              <w:widowControl/>
              <w:suppressLineNumbers w:val="0"/>
              <w:spacing w:before="0" w:beforeAutospacing="0" w:after="0" w:afterAutospacing="0"/>
              <w:ind w:left="0" w:right="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投诉（根据卖方产品质量、服务造成用户投诉的层级进计收违约金，当投诉涉及多个层级以最高层级计收违约金标准为准）</w:t>
            </w:r>
          </w:p>
        </w:tc>
        <w:tc>
          <w:tcPr>
            <w:tcW w:w="1314" w:type="dxa"/>
            <w:tcBorders>
              <w:top w:val="single" w:color="auto" w:sz="4" w:space="0"/>
              <w:left w:val="single" w:color="auto" w:sz="4" w:space="0"/>
              <w:bottom w:val="single" w:color="auto" w:sz="4" w:space="0"/>
              <w:right w:val="single" w:color="auto" w:sz="4" w:space="0"/>
            </w:tcBorders>
          </w:tcPr>
          <w:p w14:paraId="739EB68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1、投诉至买方售后服务部门并得以证实                                        </w:t>
            </w:r>
          </w:p>
        </w:tc>
        <w:tc>
          <w:tcPr>
            <w:tcW w:w="1038" w:type="dxa"/>
            <w:tcBorders>
              <w:top w:val="single" w:color="auto" w:sz="4" w:space="0"/>
              <w:left w:val="single" w:color="auto" w:sz="4" w:space="0"/>
              <w:bottom w:val="single" w:color="auto" w:sz="4" w:space="0"/>
              <w:right w:val="single" w:color="auto" w:sz="4" w:space="0"/>
            </w:tcBorders>
          </w:tcPr>
          <w:p w14:paraId="30CB666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投诉到万翔售后</w:t>
            </w:r>
          </w:p>
        </w:tc>
        <w:tc>
          <w:tcPr>
            <w:tcW w:w="3257" w:type="dxa"/>
            <w:tcBorders>
              <w:top w:val="single" w:color="auto" w:sz="4" w:space="0"/>
              <w:left w:val="single" w:color="auto" w:sz="4" w:space="0"/>
              <w:bottom w:val="single" w:color="auto" w:sz="4" w:space="0"/>
              <w:right w:val="single" w:color="auto" w:sz="4" w:space="0"/>
            </w:tcBorders>
          </w:tcPr>
          <w:p w14:paraId="4D6E364E">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应妥善处理客户不满或者需求，不应让客户向万翔投诉</w:t>
            </w:r>
          </w:p>
        </w:tc>
        <w:tc>
          <w:tcPr>
            <w:tcW w:w="1787" w:type="dxa"/>
            <w:tcBorders>
              <w:top w:val="single" w:color="auto" w:sz="4" w:space="0"/>
              <w:left w:val="single" w:color="auto" w:sz="4" w:space="0"/>
              <w:bottom w:val="single" w:color="auto" w:sz="4" w:space="0"/>
              <w:right w:val="single" w:color="auto" w:sz="4" w:space="0"/>
            </w:tcBorders>
            <w:noWrap/>
          </w:tcPr>
          <w:p w14:paraId="36E8AB1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服务商无法证明情况不属实</w:t>
            </w:r>
          </w:p>
        </w:tc>
        <w:tc>
          <w:tcPr>
            <w:tcW w:w="2139" w:type="dxa"/>
            <w:tcBorders>
              <w:top w:val="single" w:color="auto" w:sz="4" w:space="0"/>
              <w:left w:val="single" w:color="auto" w:sz="4" w:space="0"/>
              <w:bottom w:val="single" w:color="auto" w:sz="4" w:space="0"/>
              <w:right w:val="single" w:color="auto" w:sz="4" w:space="0"/>
            </w:tcBorders>
          </w:tcPr>
          <w:p w14:paraId="2792786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10000元/次</w:t>
            </w:r>
          </w:p>
        </w:tc>
      </w:tr>
      <w:tr w14:paraId="17564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357B1DD2">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25</w:t>
            </w:r>
          </w:p>
        </w:tc>
        <w:tc>
          <w:tcPr>
            <w:tcW w:w="719" w:type="dxa"/>
            <w:vMerge w:val="continue"/>
            <w:tcBorders>
              <w:top w:val="single" w:color="auto" w:sz="4" w:space="0"/>
              <w:left w:val="single" w:color="auto" w:sz="4" w:space="0"/>
              <w:bottom w:val="single" w:color="000000" w:sz="4" w:space="0"/>
              <w:right w:val="single" w:color="auto" w:sz="4" w:space="0"/>
            </w:tcBorders>
            <w:vAlign w:val="center"/>
          </w:tcPr>
          <w:p w14:paraId="4F1D9B8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tcBorders>
              <w:top w:val="single" w:color="auto" w:sz="4" w:space="0"/>
              <w:left w:val="single" w:color="auto" w:sz="4" w:space="0"/>
              <w:bottom w:val="single" w:color="auto" w:sz="4" w:space="0"/>
              <w:right w:val="single" w:color="auto" w:sz="4" w:space="0"/>
            </w:tcBorders>
          </w:tcPr>
          <w:p w14:paraId="4970F130">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2、投诉至厦门翔业集团内部监管部门并得以证实          </w:t>
            </w:r>
          </w:p>
        </w:tc>
        <w:tc>
          <w:tcPr>
            <w:tcW w:w="1038" w:type="dxa"/>
            <w:tcBorders>
              <w:top w:val="single" w:color="auto" w:sz="4" w:space="0"/>
              <w:left w:val="single" w:color="auto" w:sz="4" w:space="0"/>
              <w:bottom w:val="single" w:color="auto" w:sz="4" w:space="0"/>
              <w:right w:val="single" w:color="auto" w:sz="4" w:space="0"/>
            </w:tcBorders>
          </w:tcPr>
          <w:p w14:paraId="418FBC9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投诉到翔业集团内部监管部门</w:t>
            </w:r>
          </w:p>
        </w:tc>
        <w:tc>
          <w:tcPr>
            <w:tcW w:w="3257" w:type="dxa"/>
            <w:tcBorders>
              <w:top w:val="single" w:color="auto" w:sz="4" w:space="0"/>
              <w:left w:val="single" w:color="auto" w:sz="4" w:space="0"/>
              <w:bottom w:val="single" w:color="auto" w:sz="4" w:space="0"/>
              <w:right w:val="single" w:color="auto" w:sz="4" w:space="0"/>
            </w:tcBorders>
          </w:tcPr>
          <w:p w14:paraId="78D06865">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应妥善处理客户不满或者需求，不应让客户向翔业集团监管部门投诉</w:t>
            </w:r>
          </w:p>
        </w:tc>
        <w:tc>
          <w:tcPr>
            <w:tcW w:w="1787" w:type="dxa"/>
            <w:tcBorders>
              <w:top w:val="single" w:color="auto" w:sz="4" w:space="0"/>
              <w:left w:val="single" w:color="auto" w:sz="4" w:space="0"/>
              <w:bottom w:val="single" w:color="auto" w:sz="4" w:space="0"/>
              <w:right w:val="single" w:color="auto" w:sz="4" w:space="0"/>
            </w:tcBorders>
            <w:noWrap/>
          </w:tcPr>
          <w:p w14:paraId="7A04C6F7">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服务商无法证明情况不属实</w:t>
            </w:r>
          </w:p>
        </w:tc>
        <w:tc>
          <w:tcPr>
            <w:tcW w:w="2139" w:type="dxa"/>
            <w:tcBorders>
              <w:top w:val="single" w:color="auto" w:sz="4" w:space="0"/>
              <w:left w:val="single" w:color="auto" w:sz="4" w:space="0"/>
              <w:bottom w:val="single" w:color="auto" w:sz="4" w:space="0"/>
              <w:right w:val="single" w:color="auto" w:sz="4" w:space="0"/>
            </w:tcBorders>
          </w:tcPr>
          <w:p w14:paraId="4261341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20000元/次</w:t>
            </w:r>
          </w:p>
        </w:tc>
      </w:tr>
      <w:tr w14:paraId="52F7C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tcBorders>
              <w:top w:val="single" w:color="auto" w:sz="4" w:space="0"/>
              <w:left w:val="single" w:color="auto" w:sz="4" w:space="0"/>
              <w:bottom w:val="single" w:color="auto" w:sz="4" w:space="0"/>
              <w:right w:val="single" w:color="auto" w:sz="4" w:space="0"/>
            </w:tcBorders>
            <w:noWrap/>
          </w:tcPr>
          <w:p w14:paraId="7DD13042">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26</w:t>
            </w:r>
          </w:p>
        </w:tc>
        <w:tc>
          <w:tcPr>
            <w:tcW w:w="719" w:type="dxa"/>
            <w:vMerge w:val="continue"/>
            <w:tcBorders>
              <w:top w:val="single" w:color="auto" w:sz="4" w:space="0"/>
              <w:left w:val="single" w:color="auto" w:sz="4" w:space="0"/>
              <w:bottom w:val="single" w:color="000000" w:sz="4" w:space="0"/>
              <w:right w:val="single" w:color="auto" w:sz="4" w:space="0"/>
            </w:tcBorders>
            <w:vAlign w:val="center"/>
          </w:tcPr>
          <w:p w14:paraId="05B435B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tcBorders>
              <w:top w:val="single" w:color="auto" w:sz="4" w:space="0"/>
              <w:left w:val="single" w:color="auto" w:sz="4" w:space="0"/>
              <w:bottom w:val="single" w:color="auto" w:sz="4" w:space="0"/>
              <w:right w:val="single" w:color="auto" w:sz="4" w:space="0"/>
            </w:tcBorders>
          </w:tcPr>
          <w:p w14:paraId="59D7918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3、投诉至社会监管部门（如工商局等）并得到证实</w:t>
            </w:r>
          </w:p>
        </w:tc>
        <w:tc>
          <w:tcPr>
            <w:tcW w:w="1038" w:type="dxa"/>
            <w:tcBorders>
              <w:top w:val="single" w:color="auto" w:sz="4" w:space="0"/>
              <w:left w:val="single" w:color="auto" w:sz="4" w:space="0"/>
              <w:bottom w:val="single" w:color="auto" w:sz="4" w:space="0"/>
              <w:right w:val="single" w:color="auto" w:sz="4" w:space="0"/>
            </w:tcBorders>
          </w:tcPr>
          <w:p w14:paraId="56DC547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投诉到社会监管部门</w:t>
            </w:r>
          </w:p>
        </w:tc>
        <w:tc>
          <w:tcPr>
            <w:tcW w:w="3257" w:type="dxa"/>
            <w:tcBorders>
              <w:top w:val="single" w:color="auto" w:sz="4" w:space="0"/>
              <w:left w:val="single" w:color="auto" w:sz="4" w:space="0"/>
              <w:bottom w:val="single" w:color="auto" w:sz="4" w:space="0"/>
              <w:right w:val="single" w:color="auto" w:sz="4" w:space="0"/>
            </w:tcBorders>
          </w:tcPr>
          <w:p w14:paraId="7643685D">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应妥善处理客户不满或者需求，不应让客户社会监管部门投诉</w:t>
            </w:r>
          </w:p>
        </w:tc>
        <w:tc>
          <w:tcPr>
            <w:tcW w:w="1787" w:type="dxa"/>
            <w:tcBorders>
              <w:top w:val="single" w:color="auto" w:sz="4" w:space="0"/>
              <w:left w:val="single" w:color="auto" w:sz="4" w:space="0"/>
              <w:bottom w:val="single" w:color="auto" w:sz="4" w:space="0"/>
              <w:right w:val="single" w:color="auto" w:sz="4" w:space="0"/>
            </w:tcBorders>
          </w:tcPr>
          <w:p w14:paraId="4E6C5DE9">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服务商无法取得社会监管部门撤诉</w:t>
            </w:r>
          </w:p>
        </w:tc>
        <w:tc>
          <w:tcPr>
            <w:tcW w:w="2139" w:type="dxa"/>
            <w:tcBorders>
              <w:top w:val="single" w:color="auto" w:sz="4" w:space="0"/>
              <w:left w:val="single" w:color="auto" w:sz="4" w:space="0"/>
              <w:bottom w:val="single" w:color="auto" w:sz="4" w:space="0"/>
              <w:right w:val="single" w:color="auto" w:sz="4" w:space="0"/>
            </w:tcBorders>
          </w:tcPr>
          <w:p w14:paraId="5201C132">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40000元/次</w:t>
            </w:r>
          </w:p>
        </w:tc>
      </w:tr>
      <w:tr w14:paraId="104EA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4" w:hRule="atLeast"/>
          <w:jc w:val="center"/>
        </w:trPr>
        <w:tc>
          <w:tcPr>
            <w:tcW w:w="485" w:type="dxa"/>
            <w:tcBorders>
              <w:top w:val="single" w:color="auto" w:sz="4" w:space="0"/>
              <w:left w:val="single" w:color="auto" w:sz="4" w:space="0"/>
              <w:bottom w:val="single" w:color="000000" w:sz="4" w:space="0"/>
              <w:right w:val="single" w:color="auto" w:sz="4" w:space="0"/>
            </w:tcBorders>
            <w:noWrap/>
          </w:tcPr>
          <w:p w14:paraId="5573CD44">
            <w:pPr>
              <w:keepNext w:val="0"/>
              <w:keepLines w:val="0"/>
              <w:widowControl/>
              <w:suppressLineNumbers w:val="0"/>
              <w:spacing w:before="0" w:beforeAutospacing="0" w:after="0" w:afterAutospacing="0"/>
              <w:ind w:left="0" w:right="0" w:firstLine="420"/>
              <w:jc w:val="center"/>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27</w:t>
            </w:r>
          </w:p>
        </w:tc>
        <w:tc>
          <w:tcPr>
            <w:tcW w:w="719" w:type="dxa"/>
            <w:vMerge w:val="continue"/>
            <w:tcBorders>
              <w:top w:val="single" w:color="auto" w:sz="4" w:space="0"/>
              <w:left w:val="single" w:color="auto" w:sz="4" w:space="0"/>
              <w:bottom w:val="single" w:color="000000" w:sz="4" w:space="0"/>
              <w:right w:val="single" w:color="auto" w:sz="4" w:space="0"/>
            </w:tcBorders>
            <w:vAlign w:val="center"/>
          </w:tcPr>
          <w:p w14:paraId="5A10C55C">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p>
        </w:tc>
        <w:tc>
          <w:tcPr>
            <w:tcW w:w="1314" w:type="dxa"/>
            <w:tcBorders>
              <w:top w:val="single" w:color="auto" w:sz="4" w:space="0"/>
              <w:left w:val="single" w:color="auto" w:sz="4" w:space="0"/>
              <w:bottom w:val="single" w:color="000000" w:sz="4" w:space="0"/>
              <w:right w:val="single" w:color="auto" w:sz="4" w:space="0"/>
            </w:tcBorders>
          </w:tcPr>
          <w:p w14:paraId="3E379AEF">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4、投诉至社会媒体并被曝光（如报纸、杂志、电视广播、主流官网等）                                       </w:t>
            </w:r>
          </w:p>
        </w:tc>
        <w:tc>
          <w:tcPr>
            <w:tcW w:w="1038" w:type="dxa"/>
            <w:tcBorders>
              <w:top w:val="single" w:color="auto" w:sz="4" w:space="0"/>
              <w:left w:val="single" w:color="auto" w:sz="4" w:space="0"/>
              <w:bottom w:val="single" w:color="000000" w:sz="4" w:space="0"/>
              <w:right w:val="single" w:color="auto" w:sz="4" w:space="0"/>
            </w:tcBorders>
          </w:tcPr>
          <w:p w14:paraId="1D8EA16B">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 xml:space="preserve">投诉至社会媒体并被曝光（如报纸、杂志、电视广播、主流官网等）                                       </w:t>
            </w:r>
          </w:p>
        </w:tc>
        <w:tc>
          <w:tcPr>
            <w:tcW w:w="3257" w:type="dxa"/>
            <w:tcBorders>
              <w:top w:val="single" w:color="auto" w:sz="4" w:space="0"/>
              <w:left w:val="single" w:color="auto" w:sz="4" w:space="0"/>
              <w:bottom w:val="single" w:color="000000" w:sz="4" w:space="0"/>
              <w:right w:val="single" w:color="auto" w:sz="4" w:space="0"/>
            </w:tcBorders>
          </w:tcPr>
          <w:p w14:paraId="66284946">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应妥善处理客户不满或者需求，不应让客户投诉到社会媒体</w:t>
            </w:r>
          </w:p>
        </w:tc>
        <w:tc>
          <w:tcPr>
            <w:tcW w:w="1787" w:type="dxa"/>
            <w:tcBorders>
              <w:top w:val="single" w:color="auto" w:sz="4" w:space="0"/>
              <w:left w:val="single" w:color="auto" w:sz="4" w:space="0"/>
              <w:bottom w:val="single" w:color="000000" w:sz="4" w:space="0"/>
              <w:right w:val="single" w:color="auto" w:sz="4" w:space="0"/>
            </w:tcBorders>
          </w:tcPr>
          <w:p w14:paraId="268364D8">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报纸、杂志、电视广播、主流官网等曝光了事情</w:t>
            </w:r>
          </w:p>
        </w:tc>
        <w:tc>
          <w:tcPr>
            <w:tcW w:w="2139" w:type="dxa"/>
            <w:tcBorders>
              <w:top w:val="single" w:color="auto" w:sz="4" w:space="0"/>
              <w:left w:val="single" w:color="auto" w:sz="4" w:space="0"/>
              <w:bottom w:val="single" w:color="000000" w:sz="4" w:space="0"/>
              <w:right w:val="single" w:color="auto" w:sz="4" w:space="0"/>
            </w:tcBorders>
          </w:tcPr>
          <w:p w14:paraId="2DE2A43A">
            <w:pPr>
              <w:keepNext w:val="0"/>
              <w:keepLines w:val="0"/>
              <w:widowControl/>
              <w:suppressLineNumbers w:val="0"/>
              <w:spacing w:before="0" w:beforeAutospacing="0" w:after="0" w:afterAutospacing="0"/>
              <w:ind w:left="0" w:right="0" w:firstLine="420"/>
              <w:jc w:val="left"/>
              <w:rPr>
                <w:rFonts w:hint="eastAsia" w:ascii="宋体" w:hAnsi="宋体" w:cs="宋体"/>
                <w:b/>
                <w:color w:val="auto"/>
                <w:kern w:val="0"/>
                <w:sz w:val="18"/>
                <w:szCs w:val="18"/>
                <w:highlight w:val="none"/>
              </w:rPr>
            </w:pPr>
            <w:r>
              <w:rPr>
                <w:rFonts w:hint="eastAsia" w:ascii="宋体" w:hAnsi="宋体" w:cs="宋体"/>
                <w:b/>
                <w:color w:val="auto"/>
                <w:kern w:val="0"/>
                <w:sz w:val="18"/>
                <w:szCs w:val="18"/>
                <w:highlight w:val="none"/>
              </w:rPr>
              <w:t>200000元/次</w:t>
            </w:r>
          </w:p>
        </w:tc>
      </w:tr>
      <w:tr w14:paraId="08BBD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485" w:type="dxa"/>
            <w:tcBorders>
              <w:top w:val="single" w:color="auto" w:sz="4" w:space="0"/>
              <w:left w:val="single" w:color="auto" w:sz="4" w:space="0"/>
              <w:bottom w:val="single" w:color="auto" w:sz="4" w:space="0"/>
              <w:right w:val="single" w:color="auto" w:sz="4" w:space="0"/>
            </w:tcBorders>
          </w:tcPr>
          <w:p w14:paraId="41E2AACF">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28</w:t>
            </w:r>
          </w:p>
        </w:tc>
        <w:tc>
          <w:tcPr>
            <w:tcW w:w="719" w:type="dxa"/>
            <w:tcBorders>
              <w:top w:val="single" w:color="auto" w:sz="4" w:space="0"/>
              <w:left w:val="single" w:color="auto" w:sz="4" w:space="0"/>
              <w:bottom w:val="single" w:color="auto" w:sz="4" w:space="0"/>
              <w:right w:val="single" w:color="auto" w:sz="4" w:space="0"/>
            </w:tcBorders>
          </w:tcPr>
          <w:p w14:paraId="2D474012">
            <w:pPr>
              <w:keepNext w:val="0"/>
              <w:keepLines w:val="0"/>
              <w:suppressLineNumbers w:val="0"/>
              <w:spacing w:before="0" w:beforeAutospacing="0" w:after="0" w:afterAutospacing="0"/>
              <w:ind w:left="0" w:right="0"/>
              <w:rPr>
                <w:rFonts w:hint="eastAsia" w:ascii="宋体" w:hAnsi="宋体"/>
                <w:b/>
                <w:color w:val="auto"/>
                <w:kern w:val="0"/>
                <w:sz w:val="18"/>
                <w:szCs w:val="18"/>
                <w:highlight w:val="none"/>
              </w:rPr>
            </w:pPr>
            <w:r>
              <w:rPr>
                <w:rFonts w:hint="eastAsia" w:ascii="宋体" w:hAnsi="宋体"/>
                <w:b/>
                <w:color w:val="auto"/>
                <w:kern w:val="0"/>
                <w:sz w:val="18"/>
                <w:szCs w:val="18"/>
                <w:highlight w:val="none"/>
              </w:rPr>
              <w:t>考核违约金缴交或履约保证金扣划</w:t>
            </w:r>
          </w:p>
        </w:tc>
        <w:tc>
          <w:tcPr>
            <w:tcW w:w="1314" w:type="dxa"/>
            <w:tcBorders>
              <w:top w:val="single" w:color="auto" w:sz="4" w:space="0"/>
              <w:left w:val="single" w:color="auto" w:sz="4" w:space="0"/>
              <w:bottom w:val="single" w:color="auto" w:sz="4" w:space="0"/>
              <w:right w:val="single" w:color="auto" w:sz="4" w:space="0"/>
            </w:tcBorders>
          </w:tcPr>
          <w:p w14:paraId="2A650F98">
            <w:pPr>
              <w:keepNext w:val="0"/>
              <w:keepLines w:val="0"/>
              <w:suppressLineNumbers w:val="0"/>
              <w:spacing w:before="0" w:beforeAutospacing="0" w:after="0" w:afterAutospacing="0"/>
              <w:ind w:left="0" w:right="-107" w:rightChars="-51"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收到考核表后30个日历日内交清考核款项</w:t>
            </w:r>
          </w:p>
        </w:tc>
        <w:tc>
          <w:tcPr>
            <w:tcW w:w="1038" w:type="dxa"/>
            <w:tcBorders>
              <w:top w:val="single" w:color="auto" w:sz="4" w:space="0"/>
              <w:left w:val="single" w:color="auto" w:sz="4" w:space="0"/>
              <w:bottom w:val="single" w:color="auto" w:sz="4" w:space="0"/>
              <w:right w:val="single" w:color="auto" w:sz="4" w:space="0"/>
            </w:tcBorders>
          </w:tcPr>
          <w:p w14:paraId="6779A4B5">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违约金缴交</w:t>
            </w:r>
          </w:p>
        </w:tc>
        <w:tc>
          <w:tcPr>
            <w:tcW w:w="3257" w:type="dxa"/>
            <w:tcBorders>
              <w:top w:val="single" w:color="auto" w:sz="4" w:space="0"/>
              <w:left w:val="single" w:color="auto" w:sz="4" w:space="0"/>
              <w:bottom w:val="single" w:color="auto" w:sz="4" w:space="0"/>
              <w:right w:val="single" w:color="auto" w:sz="4" w:space="0"/>
            </w:tcBorders>
          </w:tcPr>
          <w:p w14:paraId="34040E6F">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服务商应在收到万翔网商发出考核表后的30个日历日内交清违约金，交完后将付款情况告知万翔网商对应的采购专员。</w:t>
            </w:r>
          </w:p>
        </w:tc>
        <w:tc>
          <w:tcPr>
            <w:tcW w:w="1787" w:type="dxa"/>
            <w:tcBorders>
              <w:top w:val="single" w:color="auto" w:sz="4" w:space="0"/>
              <w:left w:val="single" w:color="auto" w:sz="4" w:space="0"/>
              <w:bottom w:val="single" w:color="auto" w:sz="4" w:space="0"/>
              <w:right w:val="single" w:color="auto" w:sz="4" w:space="0"/>
            </w:tcBorders>
          </w:tcPr>
          <w:p w14:paraId="05CED27B">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未按要求时效和金额缴交违约金</w:t>
            </w:r>
          </w:p>
        </w:tc>
        <w:tc>
          <w:tcPr>
            <w:tcW w:w="2139" w:type="dxa"/>
            <w:tcBorders>
              <w:top w:val="single" w:color="auto" w:sz="4" w:space="0"/>
              <w:left w:val="single" w:color="auto" w:sz="4" w:space="0"/>
              <w:bottom w:val="single" w:color="auto" w:sz="4" w:space="0"/>
              <w:right w:val="single" w:color="auto" w:sz="4" w:space="0"/>
            </w:tcBorders>
          </w:tcPr>
          <w:p w14:paraId="212C8AC4">
            <w:pPr>
              <w:keepNext w:val="0"/>
              <w:keepLines w:val="0"/>
              <w:suppressLineNumbers w:val="0"/>
              <w:spacing w:before="0" w:beforeAutospacing="0" w:after="0" w:afterAutospacing="0"/>
              <w:ind w:left="0" w:right="0" w:firstLine="420"/>
              <w:rPr>
                <w:rFonts w:hint="eastAsia" w:ascii="宋体" w:hAnsi="宋体"/>
                <w:b/>
                <w:color w:val="auto"/>
                <w:kern w:val="0"/>
                <w:sz w:val="18"/>
                <w:szCs w:val="18"/>
                <w:highlight w:val="none"/>
              </w:rPr>
            </w:pPr>
            <w:r>
              <w:rPr>
                <w:rFonts w:hint="eastAsia" w:ascii="宋体" w:hAnsi="宋体"/>
                <w:b/>
                <w:color w:val="auto"/>
                <w:kern w:val="0"/>
                <w:sz w:val="18"/>
                <w:szCs w:val="18"/>
                <w:highlight w:val="none"/>
              </w:rPr>
              <w:t>超过30个日历日按双倍计收违约金</w:t>
            </w:r>
          </w:p>
        </w:tc>
      </w:tr>
    </w:tbl>
    <w:p w14:paraId="7E04F98D">
      <w:pPr>
        <w:adjustRightInd w:val="0"/>
        <w:snapToGrid w:val="0"/>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五、报价要求</w:t>
      </w:r>
    </w:p>
    <w:p w14:paraId="154946B0">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1、投标人须以人民币报价，投标总价为投标设备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投标总价中），报价方式为总包价。</w:t>
      </w:r>
    </w:p>
    <w:p w14:paraId="08F21543">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*2、投标人必须列出招标货物一览表中各品目号设备的单价及总价。</w:t>
      </w:r>
    </w:p>
    <w:p w14:paraId="2DBAAD32">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*3、本项目采购预算为人民币218万元整，投标总价不得超过该预算，品目号1-1单台设备投标不得超过</w:t>
      </w:r>
      <w:r>
        <w:rPr>
          <w:rFonts w:hint="eastAsia" w:asciiTheme="minorEastAsia" w:hAnsiTheme="minorEastAsia" w:eastAsiaTheme="minorEastAsia"/>
          <w:b/>
          <w:bCs/>
          <w:color w:val="auto"/>
          <w:sz w:val="24"/>
          <w:szCs w:val="24"/>
          <w:highlight w:val="none"/>
        </w:rPr>
        <w:t xml:space="preserve"> 450元/台</w:t>
      </w:r>
      <w:r>
        <w:rPr>
          <w:rFonts w:hint="eastAsia" w:asciiTheme="minorEastAsia" w:hAnsiTheme="minorEastAsia" w:eastAsiaTheme="minorEastAsia"/>
          <w:b/>
          <w:color w:val="auto"/>
          <w:sz w:val="24"/>
          <w:szCs w:val="24"/>
          <w:highlight w:val="none"/>
        </w:rPr>
        <w:t>；且品目号1-2单台设备投标不得超过</w:t>
      </w:r>
      <w:r>
        <w:rPr>
          <w:rFonts w:hint="eastAsia" w:asciiTheme="minorEastAsia" w:hAnsiTheme="minorEastAsia" w:eastAsiaTheme="minorEastAsia"/>
          <w:b/>
          <w:bCs/>
          <w:color w:val="auto"/>
          <w:sz w:val="24"/>
          <w:szCs w:val="24"/>
          <w:highlight w:val="none"/>
        </w:rPr>
        <w:t>800元/台；</w:t>
      </w:r>
      <w:r>
        <w:rPr>
          <w:rFonts w:hint="eastAsia" w:asciiTheme="minorEastAsia" w:hAnsiTheme="minorEastAsia" w:eastAsiaTheme="minorEastAsia"/>
          <w:b/>
          <w:color w:val="auto"/>
          <w:sz w:val="24"/>
          <w:szCs w:val="24"/>
          <w:highlight w:val="none"/>
        </w:rPr>
        <w:t>且品目号1-3单台设备投标不得超过</w:t>
      </w:r>
      <w:r>
        <w:rPr>
          <w:rFonts w:hint="eastAsia" w:asciiTheme="minorEastAsia" w:hAnsiTheme="minorEastAsia" w:eastAsiaTheme="minorEastAsia"/>
          <w:b/>
          <w:bCs/>
          <w:color w:val="auto"/>
          <w:sz w:val="24"/>
          <w:szCs w:val="24"/>
          <w:highlight w:val="none"/>
        </w:rPr>
        <w:t>600元/台；且品目号1-4单台设备投标不得超过550元/台。</w:t>
      </w:r>
    </w:p>
    <w:p w14:paraId="45D8DFF6">
      <w:pPr>
        <w:spacing w:line="360" w:lineRule="auto"/>
        <w:ind w:firstLine="482" w:firstLineChars="200"/>
        <w:jc w:val="left"/>
        <w:rPr>
          <w:rFonts w:hint="eastAsia" w:cs="宋体" w:asciiTheme="minorEastAsia" w:hAnsiTheme="minorEastAsia" w:eastAsiaTheme="minorEastAsia"/>
          <w:b/>
          <w:bCs/>
          <w:color w:val="auto"/>
          <w:sz w:val="24"/>
          <w:szCs w:val="24"/>
          <w:highlight w:val="none"/>
        </w:rPr>
      </w:pPr>
      <w:r>
        <w:rPr>
          <w:rFonts w:hint="eastAsia" w:cs="宋体" w:asciiTheme="minorEastAsia" w:hAnsiTheme="minorEastAsia" w:eastAsiaTheme="minorEastAsia"/>
          <w:b/>
          <w:bCs/>
          <w:color w:val="auto"/>
          <w:sz w:val="24"/>
          <w:szCs w:val="24"/>
          <w:highlight w:val="none"/>
        </w:rPr>
        <w:t>*4、除《定货单》另有要求外，中标供应商在接到采购单位《定货单》之日起7个日历日之内货交采购单位仓库；结合最终用户的服务需求，为保障客户服务质量和服务响应，需经采购单位按采购单位的物流配送服务标准对中标供应商服务能力进行评估确认同意后，中标供应商才可根据采购单位指令后</w:t>
      </w:r>
      <w:r>
        <w:rPr>
          <w:rFonts w:hint="eastAsia" w:cs="宋体" w:asciiTheme="minorEastAsia" w:hAnsiTheme="minorEastAsia" w:eastAsiaTheme="minorEastAsia"/>
          <w:b/>
          <w:bCs/>
          <w:color w:val="auto"/>
          <w:sz w:val="24"/>
          <w:szCs w:val="24"/>
          <w:highlight w:val="none"/>
        </w:rPr>
        <w:t>厦门市</w:t>
      </w:r>
      <w:bookmarkStart w:id="4" w:name="OLE_LINK61"/>
      <w:r>
        <w:rPr>
          <w:rFonts w:hint="eastAsia" w:cs="宋体" w:asciiTheme="minorEastAsia" w:hAnsiTheme="minorEastAsia" w:eastAsiaTheme="minorEastAsia"/>
          <w:b/>
          <w:bCs/>
          <w:color w:val="auto"/>
          <w:sz w:val="24"/>
          <w:szCs w:val="24"/>
          <w:highlight w:val="none"/>
        </w:rPr>
        <w:t>岛内24小时</w:t>
      </w:r>
      <w:bookmarkEnd w:id="4"/>
      <w:r>
        <w:rPr>
          <w:rFonts w:hint="eastAsia" w:cs="宋体" w:asciiTheme="minorEastAsia" w:hAnsiTheme="minorEastAsia" w:eastAsiaTheme="minorEastAsia"/>
          <w:b/>
          <w:bCs/>
          <w:color w:val="auto"/>
          <w:sz w:val="24"/>
          <w:szCs w:val="24"/>
          <w:highlight w:val="none"/>
        </w:rPr>
        <w:t>、岛外48小时；福建省内其他地区48小时之内</w:t>
      </w:r>
      <w:r>
        <w:rPr>
          <w:rFonts w:hint="eastAsia" w:cs="宋体" w:asciiTheme="minorEastAsia" w:hAnsiTheme="minorEastAsia" w:eastAsiaTheme="minorEastAsia"/>
          <w:b/>
          <w:bCs/>
          <w:color w:val="auto"/>
          <w:sz w:val="24"/>
          <w:szCs w:val="24"/>
          <w:highlight w:val="none"/>
        </w:rPr>
        <w:t>从采购单位仓库运送至最终用户，中标供应商从采购单位仓库中提货后，货物毁损、灭失的风险转移至中标供应商。</w:t>
      </w:r>
      <w:r>
        <w:rPr>
          <w:rFonts w:hint="eastAsia" w:asciiTheme="minorEastAsia" w:hAnsiTheme="minorEastAsia" w:eastAsiaTheme="minorEastAsia"/>
          <w:b/>
          <w:bCs/>
          <w:color w:val="auto"/>
          <w:sz w:val="24"/>
          <w:szCs w:val="24"/>
          <w:highlight w:val="none"/>
        </w:rPr>
        <w:t>直送最终用户的，除非《定货单》另有要求，否则中标供应商应在接到《定货单》在之日起2 个工作日之内，将货物送至最终用户。</w:t>
      </w:r>
    </w:p>
    <w:p w14:paraId="6CF2163B">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cs="宋体" w:asciiTheme="minorEastAsia" w:hAnsiTheme="minorEastAsia" w:eastAsiaTheme="minorEastAsia"/>
          <w:b/>
          <w:bCs/>
          <w:color w:val="auto"/>
          <w:sz w:val="24"/>
          <w:szCs w:val="24"/>
          <w:highlight w:val="none"/>
        </w:rPr>
        <w:t>*5、若</w:t>
      </w:r>
      <w:r>
        <w:rPr>
          <w:rFonts w:hint="eastAsia" w:cs="宋体" w:asciiTheme="minorEastAsia" w:hAnsiTheme="minorEastAsia" w:eastAsiaTheme="minorEastAsia"/>
          <w:b/>
          <w:bCs/>
          <w:color w:val="auto"/>
          <w:sz w:val="24"/>
          <w:szCs w:val="24"/>
          <w:highlight w:val="none"/>
        </w:rPr>
        <w:t>中标</w:t>
      </w:r>
      <w:r>
        <w:rPr>
          <w:rFonts w:cs="宋体" w:asciiTheme="minorEastAsia" w:hAnsiTheme="minorEastAsia" w:eastAsiaTheme="minorEastAsia"/>
          <w:b/>
          <w:bCs/>
          <w:color w:val="auto"/>
          <w:sz w:val="24"/>
          <w:szCs w:val="24"/>
          <w:highlight w:val="none"/>
        </w:rPr>
        <w:t>供应商未按</w:t>
      </w:r>
      <w:r>
        <w:rPr>
          <w:rFonts w:hint="eastAsia" w:cs="宋体" w:asciiTheme="minorEastAsia" w:hAnsiTheme="minorEastAsia" w:eastAsiaTheme="minorEastAsia"/>
          <w:b/>
          <w:bCs/>
          <w:color w:val="auto"/>
          <w:sz w:val="24"/>
          <w:szCs w:val="24"/>
          <w:highlight w:val="none"/>
        </w:rPr>
        <w:t>*4约定的时间完成二次配送的，则采购单位将直接委托第三方物流代为配送，配送费用由中标供应商直接向第三方物流支付。第三方物流配送费用标准为：二次配送费用为17元/台，仓储操作费为8元/台。卖方中标供应商应于货物入库后30个日历日内根据订货批次向第三方物流支付二次配送费用，若中标供应商未在规定时间内向第三方物流支付配送费用的，采购单位将代为支付，再由中标供应商返还给采购单位，同时中标供应商向采购单位每日偿付该笔款项0.5%的逾期违约金。如因最终客户集中收货，涉及搬运，需由中标供应商根据客户需求进行处理并承担相应费用。</w:t>
      </w:r>
    </w:p>
    <w:p w14:paraId="368AD419">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bCs/>
          <w:color w:val="auto"/>
          <w:sz w:val="24"/>
          <w:szCs w:val="24"/>
          <w:highlight w:val="none"/>
        </w:rPr>
        <w:t>*6、</w:t>
      </w:r>
      <w:r>
        <w:rPr>
          <w:rFonts w:hint="eastAsia" w:asciiTheme="minorEastAsia" w:hAnsiTheme="minorEastAsia" w:eastAsiaTheme="minorEastAsia"/>
          <w:b/>
          <w:color w:val="auto"/>
          <w:sz w:val="24"/>
          <w:szCs w:val="24"/>
          <w:highlight w:val="none"/>
        </w:rPr>
        <w:t>合同签订之日每三个月，采购单位可根据市场行情变化，与中标供应商就产品单价进行重新谈判，重新谈判的价格不高于中标价。</w:t>
      </w:r>
    </w:p>
    <w:p w14:paraId="1A721BD7">
      <w:pPr>
        <w:adjustRightInd w:val="0"/>
        <w:snapToGrid w:val="0"/>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bCs/>
          <w:color w:val="auto"/>
          <w:sz w:val="24"/>
          <w:szCs w:val="24"/>
          <w:highlight w:val="none"/>
        </w:rPr>
        <w:t>*7、</w:t>
      </w:r>
      <w:r>
        <w:rPr>
          <w:rFonts w:hint="eastAsia" w:asciiTheme="minorEastAsia" w:hAnsiTheme="minorEastAsia" w:eastAsiaTheme="minorEastAsia"/>
          <w:b/>
          <w:color w:val="auto"/>
          <w:sz w:val="24"/>
          <w:szCs w:val="24"/>
          <w:highlight w:val="none"/>
        </w:rPr>
        <w:t>投标人承诺并提供书面承诺函（格式自拟），同意在供货期间，遇合同型号价格下调，中标供应商应在2个工作日内将新的价格以书面形式告知采购单位，经采购单位确认后按最新价格进行供货并结算。一旦采购单位发现合同单价高于其它同类销售渠道或主流网站自营店（京东、苏宁、国美、天猫等）等的常规销售价格，采购单位有权要求中标供应商调低合同货物的价格，如中标供应商拒绝调整或双方就价格调整无法协商一致的，中标供应商应按逾期天数，每日承担相当于履约保证金金额0.5%的违约金，同时采购单位有权终止本合同，不视为采购单位违约。</w:t>
      </w:r>
    </w:p>
    <w:p w14:paraId="1B8EBBF3">
      <w:pPr>
        <w:adjustRightInd w:val="0"/>
        <w:snapToGrid w:val="0"/>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六、其他要求及说明</w:t>
      </w:r>
    </w:p>
    <w:p w14:paraId="37980A61">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*1、投标人须在投标文件中明确作出如下承诺：</w:t>
      </w:r>
    </w:p>
    <w:p w14:paraId="39C4B96C">
      <w:pPr>
        <w:spacing w:line="360" w:lineRule="auto"/>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投标人承诺并提供书面承诺函（格式自拟），接受《采购合同》中《服务考核细则》对其的考核并同意按考核情况处理。</w:t>
      </w:r>
    </w:p>
    <w:p w14:paraId="401B293F">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*2、采购单位付款时，中标供应商应提供一般纳税人的增值税专用发票（包括采购单位需支付中标供应商的所有费用，例如安装费用等）；否则，采购单位有权拒绝支付相应款项。</w:t>
      </w:r>
    </w:p>
    <w:p w14:paraId="53FC26BF">
      <w:pPr>
        <w:spacing w:line="360" w:lineRule="auto"/>
        <w:ind w:firstLine="482" w:firstLineChars="200"/>
        <w:jc w:val="left"/>
        <w:rPr>
          <w:rFonts w:hint="eastAsia"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*3、投标人承诺并提供书面承诺函（格式自拟），如获中标将配合采购单位及产品检验检测机构进行投标产品的检验检测，产品检验检测产生的一切相关费用由中标供应商承担。</w:t>
      </w:r>
    </w:p>
    <w:p w14:paraId="78E4FFD9">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*4、投标人承诺并提供书面承诺函（格式自拟），同意免费提供招标文件中的</w:t>
      </w:r>
      <w:r>
        <w:rPr>
          <w:rFonts w:hint="eastAsia" w:asciiTheme="minorEastAsia" w:hAnsiTheme="minorEastAsia" w:eastAsiaTheme="minorEastAsia"/>
          <w:b/>
          <w:color w:val="auto"/>
          <w:sz w:val="24"/>
          <w:szCs w:val="24"/>
          <w:highlight w:val="none"/>
        </w:rPr>
        <w:t>品目号</w:t>
      </w:r>
      <w:r>
        <w:rPr>
          <w:rFonts w:hint="eastAsia" w:asciiTheme="minorEastAsia" w:hAnsiTheme="minorEastAsia" w:eastAsiaTheme="minorEastAsia"/>
          <w:b/>
          <w:bCs/>
          <w:color w:val="auto"/>
          <w:sz w:val="24"/>
          <w:szCs w:val="24"/>
          <w:highlight w:val="none"/>
        </w:rPr>
        <w:t>1-1、1-2、1-3、1-4各5台共20台</w:t>
      </w:r>
      <w:r>
        <w:rPr>
          <w:rFonts w:hint="eastAsia" w:asciiTheme="minorEastAsia" w:hAnsiTheme="minorEastAsia" w:eastAsiaTheme="minorEastAsia"/>
          <w:b/>
          <w:color w:val="auto"/>
          <w:sz w:val="24"/>
          <w:szCs w:val="24"/>
          <w:highlight w:val="none"/>
        </w:rPr>
        <w:t>设备给予采购单位作为备用机，且于中标后第一次供货时一并提供，质保期满后，备用机不再收回。备用机需在一个月内到货，未到货采购单位有权直接扣除投标人相应金额的保证金。</w:t>
      </w:r>
    </w:p>
    <w:p w14:paraId="58747008">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5、投标人承诺并提供书面承诺函（格式自拟），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投标报价有效期为半年。</w:t>
      </w:r>
    </w:p>
    <w:p w14:paraId="782F95B1">
      <w:pPr>
        <w:widowControl/>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6、投标人承诺并提供书面承诺函（格式自拟），若中标将无条件参与采购单位举办的福建省内各地的政府大宗产品推介会，并且免费提供相应的中标机型作为样机展示，否则视为违约，投标人应按中标机型的中标单价向采购单位支付违约金，若投标人未向采购单位支付，则采购单位有权直接从履约保证金款项中直接给予扣除。</w:t>
      </w:r>
    </w:p>
    <w:p w14:paraId="05ECD3C1">
      <w:pPr>
        <w:spacing w:line="360" w:lineRule="auto"/>
        <w:ind w:firstLine="482" w:firstLineChars="200"/>
        <w:jc w:val="left"/>
        <w:rPr>
          <w:rFonts w:hint="eastAsia" w:cs="宋体" w:asciiTheme="minorEastAsia" w:hAnsiTheme="minorEastAsia" w:eastAsiaTheme="minorEastAsia"/>
          <w:b/>
          <w:bCs/>
          <w:color w:val="auto"/>
          <w:sz w:val="24"/>
          <w:szCs w:val="24"/>
          <w:highlight w:val="none"/>
        </w:rPr>
      </w:pPr>
      <w:r>
        <w:rPr>
          <w:rFonts w:hint="eastAsia" w:asciiTheme="minorEastAsia" w:hAnsiTheme="minorEastAsia" w:eastAsiaTheme="minorEastAsia"/>
          <w:b/>
          <w:color w:val="auto"/>
          <w:sz w:val="24"/>
          <w:szCs w:val="24"/>
          <w:highlight w:val="none"/>
        </w:rPr>
        <w:t>*7、投标人承诺并提供书面承诺函（格式自拟），若中标，若在合同期内中标供应商有任何产品型号或配件升级变更，应至少提前一个月书面通知采购单位相关信息（包括其升级产品型号、部件及详细配置方案），经采购单位书面同意后方可按升级后的产品（或配件）供货，价格按合同单价执行，交货时间按采购合同条款执行。同时，在采购单位同意之前，中标供应商仍应按原承诺《定货单》的要求供货。否则，按逾期交货处理。经最终用户认可后，中标供应商可按升级后的产品（或配件）供货。若在合同期内中标供应商有任何产品型号或配件停产且无法提供符合采购单位要求的升级型号或配件则视为严重违约，中标供应商应按每款机型10000元向采购单位缴纳违约金，采购单位有权单方面解除中标合同，没收履约保证金并且有权与中标供应商之后第一位的中标候选供应商签订合同。</w:t>
      </w:r>
    </w:p>
    <w:p w14:paraId="2D778966">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cs="宋体" w:asciiTheme="minorEastAsia" w:hAnsiTheme="minorEastAsia" w:eastAsiaTheme="minorEastAsia"/>
          <w:b/>
          <w:color w:val="auto"/>
          <w:kern w:val="0"/>
          <w:sz w:val="24"/>
          <w:szCs w:val="24"/>
          <w:highlight w:val="none"/>
        </w:rPr>
        <w:t>*8、</w:t>
      </w:r>
      <w:r>
        <w:rPr>
          <w:rFonts w:hint="eastAsia" w:asciiTheme="minorEastAsia" w:hAnsiTheme="minorEastAsia" w:eastAsiaTheme="minorEastAsia"/>
          <w:b/>
          <w:color w:val="auto"/>
          <w:sz w:val="24"/>
          <w:szCs w:val="24"/>
          <w:highlight w:val="none"/>
        </w:rPr>
        <w:t>投标人承诺并提供书面承诺函（格式自拟），若中标，其与采购单位之间发生的一切费用均以人民币进行结算及支付；采购单位可以通过银行转账的形式进行支付。</w:t>
      </w:r>
    </w:p>
    <w:p w14:paraId="34FDBE66">
      <w:pPr>
        <w:spacing w:line="360" w:lineRule="auto"/>
        <w:ind w:firstLine="482" w:firstLineChars="200"/>
        <w:jc w:val="left"/>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*9、投标有效期不少于180天。</w:t>
      </w:r>
    </w:p>
    <w:p w14:paraId="3DF61F11">
      <w:pPr>
        <w:widowControl/>
        <w:spacing w:line="360" w:lineRule="auto"/>
        <w:ind w:firstLine="482" w:firstLineChars="200"/>
        <w:rPr>
          <w:rFonts w:hint="eastAsia" w:cs="宋体" w:asciiTheme="minorEastAsia" w:hAnsiTheme="minorEastAsia" w:eastAsiaTheme="minorEastAsia"/>
          <w:b/>
          <w:color w:val="auto"/>
          <w:kern w:val="0"/>
          <w:sz w:val="24"/>
          <w:szCs w:val="24"/>
          <w:highlight w:val="none"/>
        </w:rPr>
      </w:pPr>
      <w:r>
        <w:rPr>
          <w:rFonts w:hint="eastAsia" w:asciiTheme="minorEastAsia" w:hAnsiTheme="minorEastAsia" w:eastAsiaTheme="minorEastAsia"/>
          <w:b/>
          <w:color w:val="auto"/>
          <w:sz w:val="24"/>
          <w:szCs w:val="24"/>
          <w:highlight w:val="none"/>
        </w:rPr>
        <w:t>*10、</w:t>
      </w:r>
      <w:r>
        <w:rPr>
          <w:rFonts w:hint="eastAsia" w:cs="宋体" w:asciiTheme="minorEastAsia" w:hAnsiTheme="minorEastAsia" w:eastAsiaTheme="minorEastAsia"/>
          <w:b/>
          <w:color w:val="auto"/>
          <w:kern w:val="0"/>
          <w:sz w:val="24"/>
          <w:szCs w:val="24"/>
          <w:highlight w:val="none"/>
        </w:rPr>
        <w:t>投标人承诺并提供书面承诺函（格式自拟），如果中标，验收时（包括初验和最终验收），投标人必须派代表参加并确认验收结果，否则视为投标人对验收意见无异议。如该批次产品在最终验收时，出现开箱破损或者故障，无法进行最终验收的，无条件给予更换新机并保证最终验收的顺畅进行。若投标人不同意更换新机或者配合，采购单位有权直接于投标人的履约保证金中扣除该批次产品及安装的等额费用。该条款可能造成的成本费用包含在投标人的产品报价中。</w:t>
      </w:r>
    </w:p>
    <w:p w14:paraId="034A690F">
      <w:pPr>
        <w:widowControl/>
        <w:spacing w:line="360" w:lineRule="auto"/>
        <w:ind w:firstLine="482" w:firstLineChars="200"/>
        <w:rPr>
          <w:rFonts w:hint="eastAsia" w:cs="宋体" w:asciiTheme="minorEastAsia" w:hAnsiTheme="minorEastAsia" w:eastAsiaTheme="minorEastAsia"/>
          <w:b/>
          <w:color w:val="auto"/>
          <w:kern w:val="0"/>
          <w:sz w:val="24"/>
          <w:szCs w:val="24"/>
          <w:highlight w:val="none"/>
        </w:rPr>
      </w:pPr>
      <w:r>
        <w:rPr>
          <w:rFonts w:hint="eastAsia" w:asciiTheme="minorEastAsia" w:hAnsiTheme="minorEastAsia" w:eastAsiaTheme="minorEastAsia"/>
          <w:b/>
          <w:color w:val="auto"/>
          <w:sz w:val="24"/>
          <w:szCs w:val="24"/>
          <w:highlight w:val="none"/>
        </w:rPr>
        <w:t>*11、</w:t>
      </w:r>
      <w:r>
        <w:rPr>
          <w:rFonts w:hint="eastAsia" w:cs="宋体" w:asciiTheme="minorEastAsia" w:hAnsiTheme="minorEastAsia" w:eastAsiaTheme="minorEastAsia"/>
          <w:b/>
          <w:color w:val="auto"/>
          <w:kern w:val="0"/>
          <w:sz w:val="24"/>
          <w:szCs w:val="24"/>
          <w:highlight w:val="none"/>
        </w:rPr>
        <w:t>投标人承诺并提供书面承诺函（格式自拟），如果中标，因投标人产品给采购单位造成的客诉，若投标人在接到采购单位通知后</w:t>
      </w:r>
      <w:r>
        <w:rPr>
          <w:rFonts w:hint="eastAsia" w:cs="宋体" w:asciiTheme="minorEastAsia" w:hAnsiTheme="minorEastAsia" w:eastAsiaTheme="minorEastAsia"/>
          <w:b/>
          <w:bCs/>
          <w:color w:val="auto"/>
          <w:kern w:val="0"/>
          <w:sz w:val="24"/>
          <w:szCs w:val="24"/>
          <w:highlight w:val="none"/>
        </w:rPr>
        <w:t>3个日历日</w:t>
      </w:r>
      <w:r>
        <w:rPr>
          <w:rFonts w:hint="eastAsia" w:cs="宋体" w:asciiTheme="minorEastAsia" w:hAnsiTheme="minorEastAsia" w:eastAsiaTheme="minorEastAsia"/>
          <w:b/>
          <w:color w:val="auto"/>
          <w:kern w:val="0"/>
          <w:sz w:val="24"/>
          <w:szCs w:val="24"/>
          <w:highlight w:val="none"/>
        </w:rPr>
        <w:t>内无法解决客诉，采购单位有权自行解决客诉，并直接于投标人的履约保证金中扣除解决客诉所产生的费用。该条款可能造成的成本费用包含在投标人的产品报价中。</w:t>
      </w:r>
    </w:p>
    <w:p w14:paraId="3DCADF88">
      <w:pPr>
        <w:widowControl/>
        <w:spacing w:line="360" w:lineRule="auto"/>
        <w:ind w:firstLine="560"/>
        <w:jc w:val="left"/>
        <w:rPr>
          <w:rFonts w:hint="eastAsia" w:cs="宋体" w:asciiTheme="minorEastAsia" w:hAnsiTheme="minorEastAsia" w:eastAsiaTheme="minorEastAsia"/>
          <w:b/>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w:t>
      </w:r>
      <w:r>
        <w:rPr>
          <w:rFonts w:hint="eastAsia" w:asciiTheme="minorEastAsia" w:hAnsiTheme="minorEastAsia" w:eastAsiaTheme="minorEastAsia"/>
          <w:b/>
          <w:color w:val="auto"/>
          <w:sz w:val="24"/>
          <w:szCs w:val="24"/>
          <w:highlight w:val="none"/>
        </w:rPr>
        <w:t>12、</w:t>
      </w:r>
      <w:r>
        <w:rPr>
          <w:rFonts w:hint="eastAsia" w:cs="宋体" w:asciiTheme="minorEastAsia" w:hAnsiTheme="minorEastAsia" w:eastAsiaTheme="minorEastAsia"/>
          <w:b/>
          <w:color w:val="auto"/>
          <w:kern w:val="0"/>
          <w:sz w:val="24"/>
          <w:szCs w:val="24"/>
          <w:highlight w:val="none"/>
        </w:rPr>
        <w:t>中标供应商应在合同签订之日起7个日历日内向采购单位提供人民币中标总金额5%的履约保证金。其中3%作为供货履约保证金，于本合同有效期满后最后一批次货物供货后20个工作日内一次性无息付清（扣除相应的违约金、赔偿金）。2%作为售后履约保证金待本合同有效期内最后一批次货物保修期届满后20个工作日内一次性无息付清（扣除相应的违约金、赔偿金）。</w:t>
      </w:r>
    </w:p>
    <w:p w14:paraId="7D0026F7">
      <w:pPr>
        <w:widowControl/>
        <w:spacing w:line="360" w:lineRule="auto"/>
        <w:ind w:firstLine="560"/>
        <w:jc w:val="left"/>
        <w:rPr>
          <w:rFonts w:hint="eastAsia" w:cs="宋体" w:asciiTheme="minorEastAsia" w:hAnsiTheme="minorEastAsia" w:eastAsiaTheme="minorEastAsia"/>
          <w:color w:val="auto"/>
          <w:kern w:val="0"/>
          <w:sz w:val="24"/>
          <w:szCs w:val="24"/>
          <w:highlight w:val="none"/>
        </w:rPr>
      </w:pPr>
      <w:r>
        <w:rPr>
          <w:rFonts w:hint="eastAsia" w:cs="宋体" w:asciiTheme="minorEastAsia" w:hAnsiTheme="minorEastAsia" w:eastAsiaTheme="minorEastAsia"/>
          <w:b/>
          <w:color w:val="auto"/>
          <w:kern w:val="0"/>
          <w:sz w:val="24"/>
          <w:szCs w:val="24"/>
          <w:highlight w:val="none"/>
        </w:rPr>
        <w:t>中标供应商因违约行为导致履约保证金被采购单位扣除的，中标供应商应于被扣除之日起7个日历日内补足，使履约保证金金额满足约定的履约保证金的要求。</w:t>
      </w:r>
    </w:p>
    <w:p w14:paraId="63FA328D">
      <w:pPr>
        <w:adjustRightInd w:val="0"/>
        <w:snapToGrid w:val="0"/>
        <w:spacing w:line="360" w:lineRule="auto"/>
        <w:ind w:firstLine="482" w:firstLineChars="200"/>
        <w:jc w:val="left"/>
        <w:rPr>
          <w:rFonts w:hint="eastAsia" w:cs="宋体" w:asciiTheme="minorEastAsia" w:hAnsiTheme="minorEastAsia" w:eastAsiaTheme="minorEastAsia"/>
          <w:b/>
          <w:color w:val="auto"/>
          <w:kern w:val="0"/>
          <w:sz w:val="24"/>
          <w:szCs w:val="24"/>
          <w:highlight w:val="none"/>
        </w:rPr>
      </w:pPr>
      <w:r>
        <w:rPr>
          <w:rFonts w:hint="eastAsia" w:asciiTheme="minorEastAsia" w:hAnsiTheme="minorEastAsia" w:eastAsiaTheme="minorEastAsia"/>
          <w:b/>
          <w:color w:val="auto"/>
          <w:sz w:val="24"/>
          <w:szCs w:val="24"/>
          <w:highlight w:val="none"/>
        </w:rPr>
        <w:t>*13、</w:t>
      </w:r>
      <w:r>
        <w:rPr>
          <w:rFonts w:hint="eastAsia" w:cs="宋体" w:asciiTheme="minorEastAsia" w:hAnsiTheme="minorEastAsia" w:eastAsiaTheme="minorEastAsia"/>
          <w:b/>
          <w:color w:val="auto"/>
          <w:kern w:val="0"/>
          <w:sz w:val="24"/>
          <w:szCs w:val="24"/>
          <w:highlight w:val="none"/>
        </w:rPr>
        <w:t>本项目中标服务费按每批次《定货单》金额的收费标准收取，中标供应商最迟在采购单位发出《定货单》之日起10个工作日内向招标代理机构缴交中标服务费。中标服务费的收取按差额定率累进法计算,由中标供应商支付，中标服务费按每个《定货单》金额分别收取，《定货单》金额不予累加。</w:t>
      </w:r>
    </w:p>
    <w:p w14:paraId="0BA012F4">
      <w:pPr>
        <w:adjustRightInd w:val="0"/>
        <w:snapToGrid w:val="0"/>
        <w:spacing w:line="360" w:lineRule="auto"/>
        <w:ind w:firstLine="482" w:firstLineChars="200"/>
        <w:jc w:val="left"/>
        <w:rPr>
          <w:rFonts w:hint="eastAsia" w:ascii="宋体" w:hAnsi="宋体" w:cs="宋体"/>
          <w:color w:val="auto"/>
          <w:kern w:val="0"/>
          <w:sz w:val="24"/>
          <w:szCs w:val="24"/>
          <w:highlight w:val="none"/>
        </w:rPr>
      </w:pPr>
      <w:r>
        <w:rPr>
          <w:rFonts w:hint="eastAsia" w:cs="宋体" w:asciiTheme="minorEastAsia" w:hAnsiTheme="minorEastAsia" w:eastAsiaTheme="minorEastAsia"/>
          <w:b/>
          <w:bCs/>
          <w:color w:val="auto"/>
          <w:kern w:val="0"/>
          <w:sz w:val="24"/>
          <w:szCs w:val="24"/>
          <w:highlight w:val="none"/>
        </w:rPr>
        <w:t>*14、付款方式与条件：</w:t>
      </w:r>
      <w:r>
        <w:rPr>
          <w:rFonts w:hint="eastAsia" w:ascii="宋体" w:hAnsi="宋体" w:cs="宋体"/>
          <w:b/>
          <w:bCs/>
          <w:color w:val="auto"/>
          <w:kern w:val="0"/>
          <w:sz w:val="24"/>
          <w:szCs w:val="24"/>
          <w:highlight w:val="none"/>
        </w:rPr>
        <w:t>买方按批次支付货款。货交买方仓库的，经买方初验合格后</w:t>
      </w:r>
      <w:r>
        <w:rPr>
          <w:rFonts w:hint="eastAsia" w:ascii="宋体" w:hAnsi="宋体" w:cs="宋体"/>
          <w:b/>
          <w:bCs/>
          <w:color w:val="auto"/>
          <w:kern w:val="0"/>
          <w:sz w:val="24"/>
          <w:szCs w:val="24"/>
          <w:highlight w:val="none"/>
          <w:u w:val="single"/>
        </w:rPr>
        <w:t>30个日历日内</w:t>
      </w:r>
      <w:r>
        <w:rPr>
          <w:rFonts w:hint="eastAsia" w:ascii="宋体" w:hAnsi="宋体" w:cs="宋体"/>
          <w:b/>
          <w:bCs/>
          <w:color w:val="auto"/>
          <w:kern w:val="0"/>
          <w:sz w:val="24"/>
          <w:szCs w:val="24"/>
          <w:highlight w:val="none"/>
        </w:rPr>
        <w:t>（投标人可根据商务评分响应情况延长付款时间），买方凭下列单证和文件以转账或电汇方式向卖方一次性支付至该批次货款。</w:t>
      </w:r>
    </w:p>
    <w:p w14:paraId="2D61FD7C">
      <w:pPr>
        <w:adjustRightInd w:val="0"/>
        <w:snapToGrid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a金额为100%的该批次货款的一般纳税人增值税专用发票；</w:t>
      </w:r>
    </w:p>
    <w:p w14:paraId="660027E8">
      <w:pPr>
        <w:adjustRightInd w:val="0"/>
        <w:snapToGrid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b卖方已缴纳该批货物的中标服务费的证明材料；</w:t>
      </w:r>
    </w:p>
    <w:p w14:paraId="68A8B1A1">
      <w:pPr>
        <w:adjustRightInd w:val="0"/>
        <w:snapToGrid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c买方收讫该批次货物的《货物收货单》</w:t>
      </w:r>
    </w:p>
    <w:p w14:paraId="71E8CF61">
      <w:pPr>
        <w:spacing w:line="360" w:lineRule="auto"/>
        <w:rPr>
          <w:rFonts w:hint="eastAsia" w:ascii="宋体" w:hAnsi="宋体"/>
          <w:b/>
          <w:bCs/>
          <w:color w:val="auto"/>
          <w:sz w:val="24"/>
          <w:szCs w:val="24"/>
          <w:highlight w:val="none"/>
        </w:rPr>
      </w:pPr>
      <w:r>
        <w:rPr>
          <w:rFonts w:asciiTheme="minorEastAsia" w:hAnsiTheme="minorEastAsia" w:eastAsiaTheme="minorEastAsia"/>
          <w:color w:val="auto"/>
          <w:sz w:val="24"/>
          <w:szCs w:val="24"/>
          <w:highlight w:val="none"/>
        </w:rPr>
        <w:tab/>
      </w:r>
      <w:r>
        <w:rPr>
          <w:rFonts w:hint="eastAsia" w:asciiTheme="minorEastAsia" w:hAnsiTheme="minorEastAsia" w:eastAsiaTheme="minorEastAsia"/>
          <w:b/>
          <w:bCs/>
          <w:color w:val="auto"/>
          <w:sz w:val="24"/>
          <w:szCs w:val="24"/>
          <w:highlight w:val="none"/>
        </w:rPr>
        <w:t>*15、</w:t>
      </w:r>
      <w:r>
        <w:rPr>
          <w:rFonts w:hint="eastAsia" w:ascii="宋体" w:hAnsi="宋体"/>
          <w:b/>
          <w:bCs/>
          <w:color w:val="auto"/>
          <w:sz w:val="24"/>
          <w:szCs w:val="24"/>
          <w:highlight w:val="none"/>
        </w:rPr>
        <w:t>投标人保证买方或最终用户在使用该品牌产品时不受到第三方关于侵犯知识产权的指控和索赔。如果任何第三方提出侵权指控或索赔，买方或最终用户有权将该等指控或索赔转告投标人。买方或最终用户对于该等索赔不承担责任，投标人应妥善处理该等纠纷，并承担处理该等侵权索赔的抗辩费用、经投标人谈判的和解费用及法院判决的赔偿等相关。</w:t>
      </w:r>
    </w:p>
    <w:p w14:paraId="21C3C2C5">
      <w:pPr>
        <w:spacing w:line="360" w:lineRule="auto"/>
        <w:rPr>
          <w:rFonts w:hint="eastAsia" w:ascii="宋体" w:hAnsi="宋体"/>
          <w:b/>
          <w:bCs/>
          <w:color w:val="auto"/>
          <w:sz w:val="24"/>
          <w:szCs w:val="24"/>
          <w:highlight w:val="none"/>
        </w:rPr>
      </w:pPr>
      <w:r>
        <w:rPr>
          <w:rFonts w:hint="eastAsia" w:ascii="宋体" w:hAnsi="宋体"/>
          <w:b/>
          <w:bCs/>
          <w:color w:val="auto"/>
          <w:sz w:val="24"/>
          <w:szCs w:val="24"/>
          <w:highlight w:val="none"/>
        </w:rPr>
        <w:t>同时，买方有权自费参与针对该等侵权索赔的应诉抗辩或和解，买方因此支出的费用和损失均由投标人承担，且买方有权在本合同的投标人保证金和买方应付货款中扣除前述费用。</w:t>
      </w:r>
    </w:p>
    <w:p w14:paraId="48E91644">
      <w:pPr>
        <w:spacing w:line="360" w:lineRule="auto"/>
        <w:ind w:firstLine="420"/>
        <w:rPr>
          <w:rFonts w:hint="eastAsia" w:ascii="宋体" w:hAnsi="宋体"/>
          <w:color w:val="auto"/>
          <w:sz w:val="24"/>
          <w:szCs w:val="24"/>
          <w:highlight w:val="none"/>
        </w:rPr>
      </w:pPr>
      <w:r>
        <w:rPr>
          <w:rFonts w:hint="eastAsia" w:ascii="宋体" w:hAnsi="宋体"/>
          <w:b/>
          <w:bCs/>
          <w:color w:val="auto"/>
          <w:sz w:val="24"/>
          <w:szCs w:val="24"/>
          <w:highlight w:val="none"/>
        </w:rPr>
        <w:t>*16、投标人若未能按时将保质足量产品送到买方仓库或最终用户指定地点的、或未能按时完成安装调试的，投标人应向买方每日支付当批货款0.5%的逾期违约金。单批次（单个《定货单》）供货中逾期超过5个日历日交货或者安装不及时率（即：（逾期超过5日的货物数量+逾期安装的货物数量）/该批次货物总数量）超过7%的，买方有权单方面解除合同并没收履约保证金，投标人除应退还买方已支付的该批次货款外，还应另行支付履约保证金总金额的违约金，且买方有权在三年内拒绝投标人参与大宗政府招标采购项目的投标报价。</w:t>
      </w:r>
    </w:p>
    <w:p w14:paraId="6C867194">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17、任一批次的产品若验收不合格（包括初验和最终验收），买方有权换货或单方解除合同。若买方选择换货的，投标人重新供货导致的供货延迟，按16条违约责任处理；若买方选择单方解除合同的，买方有权没收履约保证金，投标人除应退还买方已支付该批次货款外，还应另行支付相当于履约保证金总金额的违约金，且买方有权在三年内拒绝投标人参与大宗政府招标采购项目的投标报价。</w:t>
      </w:r>
    </w:p>
    <w:p w14:paraId="09157C98">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18、投标人保证所供成交产品质量与投标时的承诺一致，若有拆装、以次充好、偷换等行为,一经发现，买方将拒绝投标人作为厦门市政府采购供应商，拒绝其三年内参加相同项目的投标报价并有权单方解除合同并没收履约保证金，投标人除应退还买方已支付该批次货款外，还应另行支付履约保证金总金额的违约金。</w:t>
      </w:r>
    </w:p>
    <w:p w14:paraId="6FBAB4A9">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19、买方根据本合同约定提出换货、退货或解除合同的，投标人应在收到买方或最终用户通知后3个工作日内自行收回不符合合同约定的货物，并承担相应费用。因投标人原因导致退换货的，投标人应承担退换货所需的一切费用。如投标人未在规定时间内收回不合格货物，买方不对上述货物的灭失或损坏承担任何责任。如投标人逾期超过10个日历日仍未收回的，买方有权自行处理上述货物，同时投标人应履约保证金总金额的违约金，且买方有权在三年内拒绝投标人参与大宗政府招标采购项目的投标报价。</w:t>
      </w:r>
    </w:p>
    <w:p w14:paraId="166D7421">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20、买方应按商定的付款周期及时支付投标人货款。若故意拖延支付货款，买方向投标人每日支付延迟付款部分0.1%的违约金，支付金额最高不超过受影响货物总额的5%。若协商不成，可根据规定向厦门市财政局政府采购监管处投诉并要求解决。</w:t>
      </w:r>
    </w:p>
    <w:p w14:paraId="1581EA50">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*21、除本合同另有约定，在买方发出的违约通知后30天内投标人仍未纠正其任何一种违约行为的，买方有权单方解除合同并没收投标人全部履约保证金。</w:t>
      </w:r>
    </w:p>
    <w:p w14:paraId="3CC697C8">
      <w:pPr>
        <w:spacing w:line="360" w:lineRule="auto"/>
        <w:ind w:firstLine="420"/>
        <w:rPr>
          <w:rFonts w:hint="eastAsia" w:ascii="宋体" w:hAnsi="宋体"/>
          <w:b/>
          <w:bCs/>
          <w:color w:val="auto"/>
          <w:sz w:val="24"/>
          <w:szCs w:val="24"/>
          <w:highlight w:val="none"/>
        </w:rPr>
      </w:pPr>
      <w:r>
        <w:rPr>
          <w:rFonts w:hint="eastAsia" w:ascii="宋体" w:hAnsi="宋体"/>
          <w:b/>
          <w:bCs/>
          <w:color w:val="auto"/>
          <w:sz w:val="24"/>
          <w:szCs w:val="24"/>
          <w:highlight w:val="none"/>
        </w:rPr>
        <w:t>*22、买方有权扣划投标人缴交的履约保证金作为违约金，履约保证金不足以抵扣违约金的，买方有权从应付货款中扣除相应费用。买方应在扣划履约保证金前书面通知投标人违约事由，如投标人在书面通知所列明的合理期限（不超过10天）内未予纠正，则履约保证金扣划才可实施（因投标人违约买方单方解除合同而没收履约保证金的不受此限制）。</w:t>
      </w:r>
    </w:p>
    <w:p w14:paraId="1E6F2518">
      <w:pPr>
        <w:spacing w:line="360" w:lineRule="auto"/>
        <w:rPr>
          <w:rFonts w:hint="eastAsia" w:ascii="宋体" w:hAnsi="宋体"/>
          <w:b/>
          <w:bCs/>
          <w:color w:val="auto"/>
          <w:sz w:val="24"/>
          <w:szCs w:val="24"/>
          <w:highlight w:val="none"/>
        </w:rPr>
      </w:pPr>
      <w:r>
        <w:rPr>
          <w:rFonts w:ascii="宋体" w:hAnsi="宋体"/>
          <w:b/>
          <w:bCs/>
          <w:color w:val="auto"/>
          <w:sz w:val="24"/>
          <w:szCs w:val="24"/>
          <w:highlight w:val="none"/>
        </w:rPr>
        <w:t xml:space="preserve">   </w:t>
      </w:r>
      <w:r>
        <w:rPr>
          <w:rFonts w:hint="eastAsia" w:ascii="宋体" w:hAnsi="宋体"/>
          <w:b/>
          <w:bCs/>
          <w:color w:val="auto"/>
          <w:sz w:val="24"/>
          <w:szCs w:val="24"/>
          <w:highlight w:val="none"/>
        </w:rPr>
        <w:t>*23、</w:t>
      </w:r>
      <w:r>
        <w:rPr>
          <w:rFonts w:ascii="宋体" w:hAnsi="宋体"/>
          <w:b/>
          <w:bCs/>
          <w:color w:val="auto"/>
          <w:sz w:val="24"/>
          <w:szCs w:val="24"/>
          <w:highlight w:val="none"/>
        </w:rPr>
        <w:t>采购单位有权根据招标文件中的所有星号条款和投标人承诺签订补充协议。</w:t>
      </w:r>
    </w:p>
    <w:p w14:paraId="6FCFB29A">
      <w:pPr>
        <w:spacing w:line="360" w:lineRule="auto"/>
        <w:ind w:firstLine="420"/>
        <w:rPr>
          <w:rFonts w:hint="eastAsia" w:asciiTheme="minorEastAsia" w:hAnsiTheme="minorEastAsia" w:eastAsiaTheme="minorEastAsia"/>
          <w:color w:val="auto"/>
          <w:sz w:val="24"/>
          <w:szCs w:val="24"/>
          <w:highlight w:val="none"/>
        </w:rPr>
      </w:pPr>
      <w:r>
        <w:rPr>
          <w:rFonts w:hint="eastAsia" w:ascii="宋体" w:hAnsi="宋体"/>
          <w:b/>
          <w:bCs/>
          <w:color w:val="auto"/>
          <w:sz w:val="24"/>
          <w:szCs w:val="24"/>
          <w:highlight w:val="none"/>
        </w:rPr>
        <w:t>*25、若有两家或以上的多家公司共同为本合同的投标人，买方有权向投标人中的任何一家或同时向多家就合同的履行提出索赔或要求其履行义务、责任、债务等，所有投标人共同承担合同的义务，且所有投标人就合同的履行承担连带责任。</w:t>
      </w:r>
    </w:p>
    <w:p w14:paraId="53ABE49B">
      <w:pPr>
        <w:spacing w:line="360" w:lineRule="auto"/>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附件：关联关系证明</w:t>
      </w:r>
    </w:p>
    <w:p w14:paraId="292DB9C9">
      <w:pPr>
        <w:spacing w:line="360" w:lineRule="auto"/>
        <w:jc w:val="center"/>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关联企业证明</w:t>
      </w:r>
    </w:p>
    <w:p w14:paraId="74BCC885">
      <w:pPr>
        <w:spacing w:line="360" w:lineRule="auto"/>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致：</w:t>
      </w:r>
      <w:r>
        <w:rPr>
          <w:rFonts w:hint="eastAsia" w:asciiTheme="minorEastAsia" w:hAnsiTheme="minorEastAsia" w:eastAsiaTheme="minorEastAsia"/>
          <w:b/>
          <w:color w:val="auto"/>
          <w:sz w:val="24"/>
          <w:szCs w:val="24"/>
          <w:highlight w:val="none"/>
          <w:u w:val="single"/>
        </w:rPr>
        <w:t>（招标代理机构）</w:t>
      </w:r>
    </w:p>
    <w:p w14:paraId="0518CD44">
      <w:pPr>
        <w:spacing w:line="360" w:lineRule="auto"/>
        <w:ind w:firstLine="482" w:firstLineChars="200"/>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u w:val="single"/>
        </w:rPr>
        <w:t>（制造商或制造商关联企业名称）</w:t>
      </w:r>
      <w:r>
        <w:rPr>
          <w:rFonts w:hint="eastAsia" w:asciiTheme="minorEastAsia" w:hAnsiTheme="minorEastAsia" w:eastAsiaTheme="minorEastAsia"/>
          <w:b/>
          <w:color w:val="auto"/>
          <w:sz w:val="24"/>
          <w:szCs w:val="24"/>
          <w:highlight w:val="none"/>
        </w:rPr>
        <w:t>现在此声明，根据本项目招标文件的要求</w:t>
      </w:r>
      <w:r>
        <w:rPr>
          <w:rFonts w:hint="eastAsia" w:asciiTheme="minorEastAsia" w:hAnsiTheme="minorEastAsia" w:eastAsiaTheme="minorEastAsia"/>
          <w:b/>
          <w:color w:val="auto"/>
          <w:sz w:val="24"/>
          <w:szCs w:val="24"/>
          <w:highlight w:val="none"/>
          <w:u w:val="single"/>
        </w:rPr>
        <w:t>（制造商关联企业名称）是（制造商名称）</w:t>
      </w:r>
      <w:r>
        <w:rPr>
          <w:rFonts w:hint="eastAsia" w:asciiTheme="minorEastAsia" w:hAnsiTheme="minorEastAsia" w:eastAsiaTheme="minorEastAsia"/>
          <w:b/>
          <w:color w:val="auto"/>
          <w:sz w:val="24"/>
          <w:szCs w:val="24"/>
          <w:highlight w:val="none"/>
        </w:rPr>
        <w:t>的关联企业，</w:t>
      </w:r>
    </w:p>
    <w:p w14:paraId="59B21C64">
      <w:pPr>
        <w:spacing w:line="360" w:lineRule="auto"/>
        <w:ind w:firstLine="482" w:firstLineChars="200"/>
        <w:rPr>
          <w:rFonts w:hint="eastAsia"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特此证明。</w:t>
      </w:r>
    </w:p>
    <w:p w14:paraId="203C4D83">
      <w:pPr>
        <w:spacing w:line="360" w:lineRule="auto"/>
        <w:ind w:firstLine="482" w:firstLineChars="200"/>
        <w:rPr>
          <w:rFonts w:hint="eastAsia" w:asciiTheme="minorEastAsia" w:hAnsiTheme="minorEastAsia" w:eastAsiaTheme="minorEastAsia"/>
          <w:b/>
          <w:color w:val="auto"/>
          <w:sz w:val="24"/>
          <w:szCs w:val="24"/>
          <w:highlight w:val="none"/>
        </w:rPr>
      </w:pPr>
    </w:p>
    <w:p w14:paraId="13D8FB65">
      <w:pPr>
        <w:spacing w:line="360" w:lineRule="auto"/>
        <w:ind w:firstLine="482" w:firstLineChars="200"/>
        <w:rPr>
          <w:rFonts w:hint="eastAsia" w:asciiTheme="minorEastAsia" w:hAnsiTheme="minorEastAsia" w:eastAsiaTheme="minorEastAsia"/>
          <w:b/>
          <w:color w:val="auto"/>
          <w:sz w:val="24"/>
          <w:szCs w:val="24"/>
          <w:highlight w:val="none"/>
          <w:u w:val="single"/>
        </w:rPr>
      </w:pPr>
      <w:r>
        <w:rPr>
          <w:rFonts w:hint="eastAsia" w:asciiTheme="minorEastAsia" w:hAnsiTheme="minorEastAsia" w:eastAsiaTheme="minorEastAsia"/>
          <w:b/>
          <w:color w:val="auto"/>
          <w:sz w:val="24"/>
          <w:szCs w:val="24"/>
          <w:highlight w:val="none"/>
        </w:rPr>
        <w:t>制造商或制造商关联企业名称</w:t>
      </w:r>
      <w:r>
        <w:rPr>
          <w:rFonts w:hint="eastAsia" w:asciiTheme="minorEastAsia" w:hAnsiTheme="minorEastAsia" w:eastAsiaTheme="minorEastAsia"/>
          <w:b/>
          <w:color w:val="auto"/>
          <w:sz w:val="24"/>
          <w:szCs w:val="24"/>
          <w:highlight w:val="none"/>
          <w:u w:val="single"/>
        </w:rPr>
        <w:t>：</w:t>
      </w:r>
    </w:p>
    <w:p w14:paraId="739CBD67">
      <w:pPr>
        <w:tabs>
          <w:tab w:val="left" w:pos="5130"/>
        </w:tabs>
        <w:spacing w:line="360" w:lineRule="auto"/>
        <w:ind w:firstLine="482" w:firstLineChars="200"/>
        <w:rPr>
          <w:rFonts w:hint="eastAsia" w:asciiTheme="minorEastAsia" w:hAnsiTheme="minorEastAsia" w:eastAsiaTheme="minorEastAsia"/>
          <w:color w:val="auto"/>
          <w:sz w:val="24"/>
          <w:szCs w:val="24"/>
          <w:highlight w:val="none"/>
        </w:rPr>
      </w:pPr>
      <w:r>
        <w:rPr>
          <w:rFonts w:hint="eastAsia" w:asciiTheme="minorEastAsia" w:hAnsiTheme="minorEastAsia" w:eastAsiaTheme="minorEastAsia"/>
          <w:b/>
          <w:color w:val="auto"/>
          <w:sz w:val="24"/>
          <w:szCs w:val="24"/>
          <w:highlight w:val="none"/>
        </w:rPr>
        <w:t>（盖章）日期：</w:t>
      </w:r>
    </w:p>
    <w:p w14:paraId="4A226EC4">
      <w:pPr>
        <w:tabs>
          <w:tab w:val="left" w:pos="5130"/>
        </w:tabs>
        <w:spacing w:line="360" w:lineRule="auto"/>
        <w:ind w:firstLine="480" w:firstLineChars="200"/>
        <w:rPr>
          <w:rFonts w:hint="eastAsia" w:cs="宋体" w:asciiTheme="minorEastAsia" w:hAnsiTheme="minorEastAsia" w:eastAsiaTheme="minorEastAsia"/>
          <w:color w:val="auto"/>
          <w:sz w:val="24"/>
          <w:szCs w:val="24"/>
          <w:highlight w:val="none"/>
        </w:rPr>
      </w:pPr>
    </w:p>
    <w:p w14:paraId="465E16F1">
      <w:pPr>
        <w:tabs>
          <w:tab w:val="left" w:pos="5130"/>
        </w:tabs>
        <w:spacing w:line="360" w:lineRule="auto"/>
        <w:ind w:firstLine="480" w:firstLineChars="200"/>
        <w:rPr>
          <w:rFonts w:hint="eastAsia" w:ascii="宋体" w:hAnsi="宋体" w:eastAsia="宋体" w:cs="宋体"/>
          <w:color w:val="auto"/>
          <w:sz w:val="24"/>
          <w:szCs w:val="24"/>
          <w:highlight w:val="none"/>
        </w:rPr>
      </w:pPr>
    </w:p>
    <w:p w14:paraId="24E08B31">
      <w:pPr>
        <w:tabs>
          <w:tab w:val="left" w:pos="5130"/>
        </w:tabs>
        <w:spacing w:line="360" w:lineRule="auto"/>
        <w:ind w:firstLine="480" w:firstLineChars="200"/>
        <w:rPr>
          <w:rFonts w:hint="eastAsia" w:ascii="宋体" w:hAnsi="宋体" w:eastAsia="宋体" w:cs="宋体"/>
          <w:color w:val="auto"/>
          <w:sz w:val="24"/>
          <w:szCs w:val="24"/>
          <w:highlight w:val="none"/>
        </w:rPr>
      </w:pPr>
    </w:p>
    <w:p w14:paraId="71A6687A">
      <w:pPr>
        <w:tabs>
          <w:tab w:val="left" w:pos="5130"/>
        </w:tabs>
        <w:spacing w:line="360" w:lineRule="auto"/>
        <w:ind w:firstLine="480" w:firstLineChars="200"/>
        <w:rPr>
          <w:rFonts w:hint="eastAsia" w:ascii="宋体" w:hAnsi="宋体" w:eastAsia="宋体" w:cs="宋体"/>
          <w:color w:val="auto"/>
          <w:sz w:val="24"/>
          <w:szCs w:val="24"/>
          <w:highlight w:val="none"/>
        </w:rPr>
      </w:pPr>
    </w:p>
    <w:p w14:paraId="44F2E133">
      <w:pPr>
        <w:tabs>
          <w:tab w:val="left" w:pos="5130"/>
        </w:tabs>
        <w:spacing w:line="360" w:lineRule="auto"/>
        <w:ind w:firstLine="480" w:firstLineChars="200"/>
        <w:rPr>
          <w:rFonts w:hint="eastAsia" w:ascii="宋体" w:hAnsi="宋体" w:eastAsia="宋体" w:cs="宋体"/>
          <w:color w:val="auto"/>
          <w:sz w:val="24"/>
          <w:szCs w:val="24"/>
          <w:highlight w:val="none"/>
        </w:rPr>
      </w:pPr>
    </w:p>
    <w:p w14:paraId="07118D64">
      <w:pPr>
        <w:tabs>
          <w:tab w:val="left" w:pos="5130"/>
        </w:tabs>
        <w:spacing w:line="360" w:lineRule="auto"/>
        <w:ind w:firstLine="480" w:firstLineChars="200"/>
        <w:rPr>
          <w:rFonts w:hint="eastAsia" w:ascii="宋体" w:hAnsi="宋体" w:eastAsia="宋体" w:cs="宋体"/>
          <w:color w:val="auto"/>
          <w:sz w:val="24"/>
          <w:szCs w:val="24"/>
          <w:highlight w:val="none"/>
        </w:rPr>
      </w:pPr>
    </w:p>
    <w:p w14:paraId="6C312620">
      <w:pPr>
        <w:tabs>
          <w:tab w:val="left" w:pos="5130"/>
        </w:tabs>
        <w:spacing w:line="360" w:lineRule="auto"/>
        <w:ind w:firstLine="480" w:firstLineChars="200"/>
        <w:rPr>
          <w:rFonts w:hint="eastAsia" w:ascii="宋体" w:hAnsi="宋体" w:eastAsia="宋体" w:cs="宋体"/>
          <w:color w:val="auto"/>
          <w:sz w:val="24"/>
          <w:szCs w:val="24"/>
          <w:highlight w:val="none"/>
        </w:rPr>
      </w:pPr>
    </w:p>
    <w:p w14:paraId="268AFB8A">
      <w:pPr>
        <w:tabs>
          <w:tab w:val="left" w:pos="5130"/>
        </w:tabs>
        <w:spacing w:line="360" w:lineRule="auto"/>
        <w:ind w:firstLine="480" w:firstLineChars="200"/>
        <w:rPr>
          <w:rFonts w:hint="eastAsia" w:ascii="宋体" w:hAnsi="宋体" w:eastAsia="宋体" w:cs="宋体"/>
          <w:color w:val="auto"/>
          <w:sz w:val="24"/>
          <w:szCs w:val="24"/>
          <w:highlight w:val="none"/>
        </w:rPr>
      </w:pPr>
    </w:p>
    <w:p w14:paraId="5DC9D88A">
      <w:pPr>
        <w:tabs>
          <w:tab w:val="left" w:pos="5130"/>
        </w:tabs>
        <w:spacing w:line="360" w:lineRule="auto"/>
        <w:ind w:firstLine="480" w:firstLineChars="200"/>
        <w:rPr>
          <w:rFonts w:hint="eastAsia" w:ascii="宋体" w:hAnsi="宋体" w:eastAsia="宋体" w:cs="宋体"/>
          <w:color w:val="auto"/>
          <w:sz w:val="24"/>
          <w:szCs w:val="24"/>
          <w:highlight w:val="none"/>
        </w:rPr>
      </w:pPr>
    </w:p>
    <w:p w14:paraId="3D00DE2F">
      <w:pPr>
        <w:tabs>
          <w:tab w:val="left" w:pos="5130"/>
        </w:tabs>
        <w:spacing w:line="360" w:lineRule="auto"/>
        <w:ind w:firstLine="480" w:firstLineChars="200"/>
        <w:rPr>
          <w:rFonts w:hint="eastAsia" w:ascii="宋体" w:hAnsi="宋体" w:eastAsia="宋体" w:cs="宋体"/>
          <w:color w:val="auto"/>
          <w:sz w:val="24"/>
          <w:szCs w:val="24"/>
          <w:highlight w:val="none"/>
        </w:rPr>
      </w:pPr>
    </w:p>
    <w:p w14:paraId="1414C215">
      <w:pPr>
        <w:tabs>
          <w:tab w:val="left" w:pos="5130"/>
        </w:tabs>
        <w:spacing w:line="360" w:lineRule="auto"/>
        <w:ind w:firstLine="480" w:firstLineChars="200"/>
        <w:rPr>
          <w:rFonts w:hint="eastAsia" w:ascii="宋体" w:hAnsi="宋体" w:eastAsia="宋体" w:cs="宋体"/>
          <w:color w:val="auto"/>
          <w:sz w:val="24"/>
          <w:szCs w:val="24"/>
          <w:highlight w:val="none"/>
        </w:rPr>
      </w:pPr>
    </w:p>
    <w:p w14:paraId="361E0862">
      <w:pPr>
        <w:tabs>
          <w:tab w:val="left" w:pos="5130"/>
        </w:tabs>
        <w:spacing w:line="360" w:lineRule="auto"/>
        <w:ind w:firstLine="480" w:firstLineChars="200"/>
        <w:rPr>
          <w:rFonts w:hint="eastAsia" w:ascii="宋体" w:hAnsi="宋体" w:eastAsia="宋体" w:cs="宋体"/>
          <w:color w:val="auto"/>
          <w:sz w:val="24"/>
          <w:szCs w:val="24"/>
          <w:highlight w:val="none"/>
        </w:rPr>
      </w:pPr>
    </w:p>
    <w:p w14:paraId="5374897B">
      <w:pPr>
        <w:tabs>
          <w:tab w:val="left" w:pos="5130"/>
        </w:tabs>
        <w:spacing w:line="360" w:lineRule="auto"/>
        <w:ind w:firstLine="480" w:firstLineChars="200"/>
        <w:rPr>
          <w:rFonts w:hint="eastAsia" w:ascii="宋体" w:hAnsi="宋体" w:eastAsia="宋体" w:cs="宋体"/>
          <w:color w:val="auto"/>
          <w:sz w:val="24"/>
          <w:szCs w:val="24"/>
          <w:highlight w:val="none"/>
        </w:rPr>
      </w:pPr>
    </w:p>
    <w:p w14:paraId="6C68E04A">
      <w:pPr>
        <w:tabs>
          <w:tab w:val="left" w:pos="5130"/>
        </w:tabs>
        <w:spacing w:line="360" w:lineRule="auto"/>
        <w:ind w:firstLine="480" w:firstLineChars="200"/>
        <w:rPr>
          <w:rFonts w:hint="eastAsia" w:ascii="宋体" w:hAnsi="宋体" w:eastAsia="宋体" w:cs="宋体"/>
          <w:color w:val="auto"/>
          <w:sz w:val="24"/>
          <w:szCs w:val="24"/>
          <w:highlight w:val="none"/>
        </w:rPr>
      </w:pPr>
    </w:p>
    <w:p w14:paraId="3B2051D8">
      <w:pPr>
        <w:tabs>
          <w:tab w:val="left" w:pos="5130"/>
        </w:tabs>
        <w:spacing w:line="360" w:lineRule="auto"/>
        <w:ind w:firstLine="480" w:firstLineChars="200"/>
        <w:rPr>
          <w:rFonts w:hint="eastAsia" w:ascii="宋体" w:hAnsi="宋体" w:eastAsia="宋体" w:cs="宋体"/>
          <w:color w:val="auto"/>
          <w:sz w:val="24"/>
          <w:szCs w:val="24"/>
          <w:highlight w:val="none"/>
        </w:rPr>
      </w:pPr>
    </w:p>
    <w:p w14:paraId="6BBE9D4E">
      <w:pPr>
        <w:tabs>
          <w:tab w:val="left" w:pos="5130"/>
        </w:tabs>
        <w:spacing w:line="360" w:lineRule="auto"/>
        <w:ind w:firstLine="480" w:firstLineChars="200"/>
        <w:rPr>
          <w:rFonts w:hint="eastAsia" w:ascii="宋体" w:hAnsi="宋体" w:eastAsia="宋体" w:cs="宋体"/>
          <w:color w:val="auto"/>
          <w:sz w:val="24"/>
          <w:szCs w:val="24"/>
          <w:highlight w:val="none"/>
        </w:rPr>
      </w:pPr>
    </w:p>
    <w:p w14:paraId="59A3043F">
      <w:pPr>
        <w:tabs>
          <w:tab w:val="left" w:pos="5130"/>
        </w:tabs>
        <w:spacing w:line="360" w:lineRule="auto"/>
        <w:ind w:firstLine="480" w:firstLineChars="200"/>
        <w:rPr>
          <w:rFonts w:hint="eastAsia" w:ascii="宋体" w:hAnsi="宋体" w:eastAsia="宋体" w:cs="宋体"/>
          <w:color w:val="auto"/>
          <w:sz w:val="24"/>
          <w:szCs w:val="24"/>
          <w:highlight w:val="none"/>
        </w:rPr>
      </w:pPr>
    </w:p>
    <w:p w14:paraId="01D30384">
      <w:pPr>
        <w:tabs>
          <w:tab w:val="left" w:pos="5130"/>
        </w:tabs>
        <w:spacing w:line="360" w:lineRule="auto"/>
        <w:ind w:firstLine="480" w:firstLineChars="200"/>
        <w:rPr>
          <w:rFonts w:hint="eastAsia" w:ascii="宋体" w:hAnsi="宋体" w:eastAsia="宋体" w:cs="宋体"/>
          <w:color w:val="auto"/>
          <w:sz w:val="24"/>
          <w:szCs w:val="24"/>
          <w:highlight w:val="none"/>
        </w:rPr>
      </w:pPr>
    </w:p>
    <w:p w14:paraId="2F749581">
      <w:pPr>
        <w:tabs>
          <w:tab w:val="left" w:pos="5130"/>
        </w:tabs>
        <w:spacing w:line="360" w:lineRule="auto"/>
        <w:ind w:firstLine="480" w:firstLineChars="200"/>
        <w:rPr>
          <w:rFonts w:hint="eastAsia" w:ascii="宋体" w:hAnsi="宋体" w:eastAsia="宋体" w:cs="宋体"/>
          <w:color w:val="auto"/>
          <w:sz w:val="24"/>
          <w:szCs w:val="24"/>
          <w:highlight w:val="none"/>
        </w:rPr>
      </w:pPr>
    </w:p>
    <w:p w14:paraId="79DD41F1">
      <w:pPr>
        <w:tabs>
          <w:tab w:val="left" w:pos="5130"/>
        </w:tabs>
        <w:spacing w:line="360" w:lineRule="auto"/>
        <w:ind w:firstLine="480" w:firstLineChars="200"/>
        <w:rPr>
          <w:rFonts w:hint="eastAsia" w:ascii="宋体" w:hAnsi="宋体" w:eastAsia="宋体" w:cs="宋体"/>
          <w:color w:val="auto"/>
          <w:sz w:val="24"/>
          <w:szCs w:val="24"/>
          <w:highlight w:val="none"/>
        </w:rPr>
      </w:pPr>
    </w:p>
    <w:p w14:paraId="7B59FF76">
      <w:pPr>
        <w:tabs>
          <w:tab w:val="left" w:pos="5130"/>
        </w:tabs>
        <w:spacing w:line="360" w:lineRule="auto"/>
        <w:ind w:firstLine="480" w:firstLineChars="200"/>
        <w:rPr>
          <w:rFonts w:hint="eastAsia" w:ascii="宋体" w:hAnsi="宋体" w:eastAsia="宋体" w:cs="宋体"/>
          <w:color w:val="auto"/>
          <w:sz w:val="24"/>
          <w:szCs w:val="24"/>
          <w:highlight w:val="none"/>
        </w:rPr>
      </w:pPr>
    </w:p>
    <w:p w14:paraId="434EF311">
      <w:pPr>
        <w:tabs>
          <w:tab w:val="left" w:pos="5130"/>
        </w:tabs>
        <w:spacing w:line="360" w:lineRule="auto"/>
        <w:ind w:firstLine="480" w:firstLineChars="200"/>
        <w:rPr>
          <w:rFonts w:hint="eastAsia" w:ascii="宋体" w:hAnsi="宋体" w:eastAsia="宋体" w:cs="宋体"/>
          <w:color w:val="auto"/>
          <w:sz w:val="24"/>
          <w:szCs w:val="24"/>
          <w:highlight w:val="none"/>
        </w:rPr>
      </w:pPr>
    </w:p>
    <w:p w14:paraId="2731A780">
      <w:pPr>
        <w:tabs>
          <w:tab w:val="left" w:pos="5130"/>
        </w:tabs>
        <w:spacing w:line="360" w:lineRule="auto"/>
        <w:ind w:firstLine="480" w:firstLineChars="200"/>
        <w:rPr>
          <w:rFonts w:hint="eastAsia" w:ascii="宋体" w:hAnsi="宋体" w:eastAsia="宋体" w:cs="宋体"/>
          <w:color w:val="auto"/>
          <w:sz w:val="24"/>
          <w:szCs w:val="24"/>
          <w:highlight w:val="none"/>
        </w:rPr>
      </w:pPr>
    </w:p>
    <w:p w14:paraId="43ADE44A">
      <w:pPr>
        <w:tabs>
          <w:tab w:val="left" w:pos="5130"/>
        </w:tabs>
        <w:spacing w:line="360" w:lineRule="auto"/>
        <w:ind w:firstLine="480" w:firstLineChars="200"/>
        <w:rPr>
          <w:rFonts w:hint="eastAsia" w:ascii="宋体" w:hAnsi="宋体" w:eastAsia="宋体" w:cs="宋体"/>
          <w:color w:val="auto"/>
          <w:sz w:val="24"/>
          <w:szCs w:val="24"/>
          <w:highlight w:val="none"/>
        </w:rPr>
      </w:pPr>
    </w:p>
    <w:p w14:paraId="24F533A0">
      <w:pPr>
        <w:spacing w:line="360" w:lineRule="auto"/>
        <w:rPr>
          <w:rFonts w:hint="eastAsia" w:ascii="宋体" w:hAnsi="宋体" w:eastAsia="宋体" w:cs="宋体"/>
          <w:b/>
          <w:color w:val="auto"/>
          <w:sz w:val="24"/>
          <w:szCs w:val="24"/>
          <w:highlight w:val="none"/>
        </w:rPr>
      </w:pPr>
    </w:p>
    <w:p w14:paraId="298C9F31">
      <w:pPr>
        <w:spacing w:line="360" w:lineRule="auto"/>
        <w:rPr>
          <w:rFonts w:hint="eastAsia" w:ascii="宋体" w:hAnsi="宋体" w:eastAsia="宋体" w:cs="宋体"/>
          <w:b/>
          <w:color w:val="auto"/>
          <w:sz w:val="24"/>
          <w:szCs w:val="24"/>
          <w:highlight w:val="none"/>
        </w:rPr>
      </w:pPr>
    </w:p>
    <w:p w14:paraId="665DCABE">
      <w:pPr>
        <w:spacing w:line="360" w:lineRule="auto"/>
        <w:rPr>
          <w:rFonts w:hint="eastAsia" w:ascii="宋体" w:hAnsi="宋体" w:eastAsia="宋体" w:cs="宋体"/>
          <w:b/>
          <w:color w:val="auto"/>
          <w:sz w:val="24"/>
          <w:szCs w:val="24"/>
          <w:highlight w:val="none"/>
        </w:rPr>
      </w:pPr>
    </w:p>
    <w:p w14:paraId="7877D467">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12830F71">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7A6940F9">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03D9C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noWrap w:val="0"/>
            <w:vAlign w:val="center"/>
          </w:tcPr>
          <w:p w14:paraId="6ADF73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noWrap w:val="0"/>
            <w:vAlign w:val="center"/>
          </w:tcPr>
          <w:p w14:paraId="2EA329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5BF0A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0"/>
            <w:vAlign w:val="center"/>
          </w:tcPr>
          <w:p w14:paraId="54F9F60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5383B8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7DF571A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7E5EA2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6AF804C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72B725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4E0F2F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7AA4AD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7374097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34DA9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0"/>
            <w:vAlign w:val="center"/>
          </w:tcPr>
          <w:p w14:paraId="3C978F4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noWrap w:val="0"/>
            <w:vAlign w:val="center"/>
          </w:tcPr>
          <w:p w14:paraId="6926AEE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2FABD8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39EEFE75">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6AB87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8DDC2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57BA2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81D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95746A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FEC47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BF92B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4262B62">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5DFE0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F0187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BE298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87CB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FC9E33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D653A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3D5D0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6D0C96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8F6A4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B5458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C7BF8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2B8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302E37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E63CF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6A5A2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037ED147">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2E09C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A5756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7CFBE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7558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BE9DDE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91123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12C62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753DDE3">
            <w:pPr>
              <w:keepNext w:val="0"/>
              <w:keepLines w:val="0"/>
              <w:suppressLineNumbers w:val="0"/>
              <w:tabs>
                <w:tab w:val="left" w:pos="624"/>
                <w:tab w:val="left" w:pos="2988"/>
                <w:tab w:val="left" w:pos="7849"/>
              </w:tabs>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9E5DD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64D2A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1564A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0712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64BAB2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938F6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7A2DF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106130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4A71D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1828E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B8853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D354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652E93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D0538E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4F9AD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64DBA58B">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A4333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B82715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96782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8B4C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FB6550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B77B2B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63B0C5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62AB88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F70B9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186E0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1CFC8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DFD7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A190F5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796EE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A40565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81E30E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37A2C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AB529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4A215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F2F6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AEAF4A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60A20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DD5A6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DC97F5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516BC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F034F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22E51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42A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2D2EA8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2BAE1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1D92C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BB1D2EE">
            <w:pPr>
              <w:keepNext w:val="0"/>
              <w:keepLines w:val="0"/>
              <w:suppressLineNumbers w:val="0"/>
              <w:tabs>
                <w:tab w:val="left" w:pos="992"/>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CB353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17D6D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3CD02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2857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DF688C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F9034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3B018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D0E89F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828C2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B4FDC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6F291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2804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7CDC0D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E7846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1A3D13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3F6B4D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77D5A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12CCF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E1D1D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9BF7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D5D370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3F0F4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5E40E5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301448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D418F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0AB06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9D7AB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B423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E770A9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FE482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19D38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5DBE3B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9202F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626B0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94E7B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A8E7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85675B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F0343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C94B0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3EC90C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56DE83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17CA3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183AF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4B63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trPr>
        <w:tc>
          <w:tcPr>
            <w:tcW w:w="960" w:type="dxa"/>
            <w:vMerge w:val="continue"/>
            <w:tcBorders>
              <w:left w:val="single" w:color="auto" w:sz="4" w:space="0"/>
              <w:right w:val="single" w:color="auto" w:sz="4" w:space="0"/>
            </w:tcBorders>
            <w:noWrap w:val="0"/>
            <w:vAlign w:val="center"/>
          </w:tcPr>
          <w:p w14:paraId="0D4A4D2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3C223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1F5B6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E3980B5">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A844ED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ED29A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B7086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75F4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90D36B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A1681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54D02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4C776D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513AC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F1F51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697E5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38A5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6D3BAA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836BD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23FE1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B08292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ADA46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7FB21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339CE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18EC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BB3262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12207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88B5B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78D8F1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0CB3D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BA090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21105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CA7A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C7229E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BA554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B9357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639AE56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59677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761CD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9E356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1008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F3C9E6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7FC24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6B6A72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A003825">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5575F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B2BAA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CA152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875D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D48CB6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58EFC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69E5696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650BD3A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8B708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39BA1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D839F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BB40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29E6E9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57612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2A160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7227C6BC">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FEB7A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654D4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EF924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3A70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35B183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44CFB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9DC78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EC0E16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9D793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D86BA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8725A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2961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83838C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6A1DE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A9F60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F22AF6F">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67ED2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CDD67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8CCF7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1D25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4008F5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C9194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303494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CE2B4A2">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67CE7B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68E0C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7A920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4BF2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50D0B0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23092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6269B5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730C85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E4B5A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ACFB4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AE01F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9CC2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930BD7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769D3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1EB779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05C76347">
            <w:pPr>
              <w:keepNext w:val="0"/>
              <w:keepLines w:val="0"/>
              <w:suppressLineNumbers w:val="0"/>
              <w:tabs>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2ABA9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295F2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B0183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CB83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614317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E8CFB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6D02D4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7D2755C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660E9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6F0CF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B5399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C963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C1ACB4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9A384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3F47ED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1022E2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A520DC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F0040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1B10B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7688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4B1D4C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598EB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642A4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97D115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D3819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71002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DB9A5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1335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009398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277DC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6EF59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F5A7DA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E508B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2A598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E5ED8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EB05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97B4E2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C2942F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F8892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E37E7B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9D1DB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4041D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0D98D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940D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757A87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582FD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D1E6C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513458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3876E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86D22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5A771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E884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noWrap w:val="0"/>
            <w:vAlign w:val="center"/>
          </w:tcPr>
          <w:p w14:paraId="581214B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noWrap w:val="0"/>
            <w:vAlign w:val="center"/>
          </w:tcPr>
          <w:p w14:paraId="27F078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0089BA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AC21F4C">
            <w:pPr>
              <w:pStyle w:val="7"/>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0EC25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15CEA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4BAB2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41315BDE">
      <w:pPr>
        <w:tabs>
          <w:tab w:val="left" w:pos="5130"/>
        </w:tabs>
        <w:spacing w:line="360" w:lineRule="auto"/>
        <w:ind w:firstLine="480" w:firstLineChars="200"/>
        <w:rPr>
          <w:rFonts w:hint="eastAsia" w:ascii="宋体" w:hAnsi="宋体" w:eastAsia="宋体" w:cs="宋体"/>
          <w:color w:val="auto"/>
          <w:sz w:val="24"/>
          <w:szCs w:val="24"/>
          <w:highlight w:val="none"/>
        </w:rPr>
      </w:pPr>
    </w:p>
    <w:p w14:paraId="72778934">
      <w:pPr>
        <w:tabs>
          <w:tab w:val="left" w:pos="5130"/>
        </w:tabs>
        <w:spacing w:line="360" w:lineRule="auto"/>
        <w:ind w:firstLine="480" w:firstLineChars="200"/>
        <w:rPr>
          <w:rFonts w:hint="eastAsia" w:ascii="宋体" w:hAnsi="宋体" w:eastAsia="宋体" w:cs="宋体"/>
          <w:color w:val="auto"/>
          <w:sz w:val="24"/>
          <w:szCs w:val="24"/>
          <w:highlight w:val="none"/>
        </w:rPr>
      </w:pPr>
    </w:p>
    <w:p w14:paraId="455E6EC7">
      <w:pPr>
        <w:spacing w:line="360" w:lineRule="auto"/>
        <w:rPr>
          <w:rFonts w:hint="eastAsia" w:ascii="宋体" w:hAnsi="宋体" w:eastAsia="宋体" w:cs="宋体"/>
          <w:color w:val="auto"/>
          <w:sz w:val="24"/>
          <w:szCs w:val="24"/>
          <w:highlight w:val="none"/>
        </w:rPr>
      </w:pPr>
    </w:p>
    <w:p w14:paraId="74F9C6E2">
      <w:pPr>
        <w:spacing w:line="360" w:lineRule="auto"/>
        <w:rPr>
          <w:rFonts w:hint="eastAsia" w:ascii="宋体" w:hAnsi="宋体" w:eastAsia="宋体" w:cs="宋体"/>
          <w:color w:val="auto"/>
          <w:sz w:val="24"/>
          <w:szCs w:val="24"/>
          <w:highlight w:val="none"/>
        </w:rPr>
      </w:pPr>
    </w:p>
    <w:p w14:paraId="45AA3164">
      <w:pPr>
        <w:spacing w:line="360" w:lineRule="auto"/>
        <w:jc w:val="center"/>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3D245EC9">
      <w:pPr>
        <w:numPr>
          <w:ilvl w:val="255"/>
          <w:numId w:val="0"/>
        </w:numPr>
        <w:spacing w:line="360" w:lineRule="auto"/>
        <w:ind w:firstLine="1285" w:firstLineChars="400"/>
        <w:rPr>
          <w:rFonts w:ascii="宋体" w:hAnsi="宋体" w:cs="宋体"/>
          <w:b/>
          <w:color w:val="auto"/>
          <w:sz w:val="32"/>
          <w:szCs w:val="32"/>
          <w:highlight w:val="none"/>
        </w:rPr>
      </w:pPr>
      <w:r>
        <w:rPr>
          <w:rFonts w:hint="eastAsia" w:ascii="宋体" w:hAnsi="宋体" w:cs="宋体"/>
          <w:b/>
          <w:color w:val="auto"/>
          <w:sz w:val="32"/>
          <w:szCs w:val="32"/>
          <w:highlight w:val="none"/>
        </w:rPr>
        <w:t xml:space="preserve">第四章    </w:t>
      </w:r>
      <w:bookmarkStart w:id="5" w:name="OLE_LINK266"/>
      <w:bookmarkStart w:id="6" w:name="OLE_LINK265"/>
      <w:r>
        <w:rPr>
          <w:rFonts w:hint="eastAsia" w:ascii="宋体" w:hAnsi="宋体" w:cs="宋体"/>
          <w:b/>
          <w:color w:val="auto"/>
          <w:sz w:val="32"/>
          <w:szCs w:val="32"/>
          <w:highlight w:val="none"/>
        </w:rPr>
        <w:t>政府采购货物买卖合同（试行）</w:t>
      </w:r>
      <w:bookmarkEnd w:id="5"/>
      <w:bookmarkEnd w:id="6"/>
    </w:p>
    <w:p w14:paraId="176D9EF6">
      <w:pPr>
        <w:numPr>
          <w:ilvl w:val="255"/>
          <w:numId w:val="0"/>
        </w:numPr>
        <w:spacing w:line="360" w:lineRule="auto"/>
        <w:rPr>
          <w:rFonts w:ascii="宋体" w:hAnsi="宋体" w:cs="宋体"/>
          <w:b/>
          <w:color w:val="auto"/>
          <w:sz w:val="32"/>
          <w:szCs w:val="32"/>
          <w:highlight w:val="none"/>
        </w:rPr>
      </w:pPr>
    </w:p>
    <w:p w14:paraId="037FE198">
      <w:pPr>
        <w:spacing w:line="360" w:lineRule="auto"/>
        <w:jc w:val="center"/>
        <w:rPr>
          <w:rFonts w:ascii="宋体" w:hAnsi="宋体" w:cs="宋体"/>
          <w:b/>
          <w:bCs/>
          <w:color w:val="auto"/>
          <w:spacing w:val="-20"/>
          <w:kern w:val="44"/>
          <w:sz w:val="48"/>
          <w:szCs w:val="48"/>
          <w:highlight w:val="none"/>
        </w:rPr>
      </w:pPr>
      <w:r>
        <w:rPr>
          <w:rFonts w:hint="eastAsia" w:ascii="宋体" w:hAnsi="宋体" w:cs="宋体"/>
          <w:b/>
          <w:bCs/>
          <w:color w:val="auto"/>
          <w:spacing w:val="-20"/>
          <w:kern w:val="44"/>
          <w:sz w:val="48"/>
          <w:szCs w:val="48"/>
          <w:highlight w:val="none"/>
        </w:rPr>
        <w:t>政府采购货物买卖合同</w:t>
      </w:r>
    </w:p>
    <w:p w14:paraId="4649CC78">
      <w:pPr>
        <w:spacing w:line="360" w:lineRule="auto"/>
        <w:jc w:val="center"/>
        <w:rPr>
          <w:rFonts w:ascii="宋体" w:hAnsi="宋体" w:cs="宋体"/>
          <w:b/>
          <w:bCs/>
          <w:color w:val="auto"/>
          <w:spacing w:val="-20"/>
          <w:kern w:val="44"/>
          <w:sz w:val="48"/>
          <w:szCs w:val="48"/>
          <w:highlight w:val="none"/>
        </w:rPr>
      </w:pPr>
      <w:r>
        <w:rPr>
          <w:rFonts w:hint="eastAsia" w:ascii="宋体" w:hAnsi="宋体" w:cs="宋体"/>
          <w:b/>
          <w:bCs/>
          <w:color w:val="auto"/>
          <w:spacing w:val="-20"/>
          <w:kern w:val="44"/>
          <w:sz w:val="48"/>
          <w:szCs w:val="48"/>
          <w:highlight w:val="none"/>
        </w:rPr>
        <w:t>（试行）</w:t>
      </w:r>
    </w:p>
    <w:p w14:paraId="121B0750">
      <w:pPr>
        <w:spacing w:line="360" w:lineRule="auto"/>
        <w:rPr>
          <w:rFonts w:ascii="宋体" w:hAnsi="宋体" w:cs="宋体"/>
          <w:b/>
          <w:bCs/>
          <w:color w:val="auto"/>
          <w:spacing w:val="-20"/>
          <w:kern w:val="44"/>
          <w:sz w:val="40"/>
          <w:szCs w:val="40"/>
          <w:highlight w:val="none"/>
        </w:rPr>
      </w:pPr>
    </w:p>
    <w:p w14:paraId="3A32BD09">
      <w:pPr>
        <w:spacing w:line="360" w:lineRule="auto"/>
        <w:rPr>
          <w:rFonts w:ascii="宋体" w:hAnsi="宋体" w:cs="宋体"/>
          <w:b/>
          <w:bCs/>
          <w:color w:val="auto"/>
          <w:spacing w:val="-20"/>
          <w:kern w:val="44"/>
          <w:sz w:val="40"/>
          <w:szCs w:val="40"/>
          <w:highlight w:val="none"/>
        </w:rPr>
      </w:pPr>
    </w:p>
    <w:p w14:paraId="5B7EFAC8">
      <w:pPr>
        <w:spacing w:line="360" w:lineRule="auto"/>
        <w:rPr>
          <w:rFonts w:ascii="宋体" w:hAnsi="宋体" w:cs="宋体"/>
          <w:b/>
          <w:bCs/>
          <w:color w:val="auto"/>
          <w:spacing w:val="-20"/>
          <w:kern w:val="44"/>
          <w:sz w:val="40"/>
          <w:szCs w:val="40"/>
          <w:highlight w:val="none"/>
        </w:rPr>
      </w:pPr>
    </w:p>
    <w:p w14:paraId="465B90CA">
      <w:pPr>
        <w:spacing w:line="360" w:lineRule="auto"/>
        <w:jc w:val="center"/>
        <w:rPr>
          <w:rFonts w:ascii="宋体" w:hAnsi="宋体"/>
          <w:b/>
          <w:bCs/>
          <w:color w:val="auto"/>
          <w:sz w:val="32"/>
          <w:szCs w:val="32"/>
          <w:highlight w:val="none"/>
        </w:rPr>
      </w:pPr>
      <w:r>
        <w:rPr>
          <w:rFonts w:hint="eastAsia" w:ascii="宋体" w:hAnsi="宋体" w:cs="宋体"/>
          <w:color w:val="auto"/>
          <w:kern w:val="0"/>
          <w:sz w:val="32"/>
          <w:szCs w:val="32"/>
          <w:highlight w:val="none"/>
        </w:rPr>
        <w:t>项目名称：大宗碎纸机采购</w:t>
      </w:r>
    </w:p>
    <w:p w14:paraId="78FE54E2">
      <w:pPr>
        <w:spacing w:line="360" w:lineRule="auto"/>
        <w:ind w:left="420" w:leftChars="200"/>
        <w:rPr>
          <w:rFonts w:ascii="Calibri" w:hAnsi="Calibri"/>
          <w:color w:val="auto"/>
          <w:sz w:val="32"/>
          <w:szCs w:val="32"/>
          <w:highlight w:val="none"/>
        </w:rPr>
      </w:pPr>
    </w:p>
    <w:p w14:paraId="622F5B83">
      <w:pPr>
        <w:spacing w:line="360" w:lineRule="auto"/>
        <w:ind w:left="420" w:leftChars="200"/>
        <w:rPr>
          <w:rFonts w:hint="eastAsia" w:ascii="Calibri" w:hAnsi="Calibri" w:eastAsia="宋体"/>
          <w:color w:val="auto"/>
          <w:sz w:val="32"/>
          <w:szCs w:val="32"/>
          <w:highlight w:val="none"/>
          <w:u w:val="single"/>
          <w:lang w:val="en-US" w:eastAsia="zh-CN"/>
        </w:rPr>
      </w:pPr>
      <w:r>
        <w:rPr>
          <w:rFonts w:hint="eastAsia" w:ascii="Calibri" w:hAnsi="Calibri"/>
          <w:color w:val="auto"/>
          <w:sz w:val="32"/>
          <w:szCs w:val="32"/>
          <w:highlight w:val="none"/>
        </w:rPr>
        <w:t>合同编号：</w:t>
      </w:r>
      <w:r>
        <w:rPr>
          <w:rFonts w:hint="eastAsia" w:ascii="Calibri" w:hAnsi="Calibri"/>
          <w:color w:val="auto"/>
          <w:sz w:val="32"/>
          <w:szCs w:val="32"/>
          <w:highlight w:val="none"/>
          <w:u w:val="single"/>
          <w:lang w:eastAsia="zh-CN"/>
        </w:rPr>
        <w:t>XM2025-DZ0014C3</w:t>
      </w:r>
    </w:p>
    <w:p w14:paraId="16494D33">
      <w:pPr>
        <w:spacing w:line="360" w:lineRule="auto"/>
        <w:ind w:left="420" w:leftChars="200"/>
        <w:rPr>
          <w:rFonts w:ascii="Calibri" w:hAnsi="Calibri"/>
          <w:color w:val="auto"/>
          <w:sz w:val="32"/>
          <w:szCs w:val="32"/>
          <w:highlight w:val="none"/>
        </w:rPr>
      </w:pPr>
      <w:r>
        <w:rPr>
          <w:rFonts w:hint="eastAsia" w:ascii="Calibri" w:hAnsi="Calibri"/>
          <w:color w:val="auto"/>
          <w:sz w:val="32"/>
          <w:szCs w:val="32"/>
          <w:highlight w:val="none"/>
        </w:rPr>
        <w:t>甲方：</w:t>
      </w:r>
      <w:r>
        <w:rPr>
          <w:rFonts w:hint="eastAsia" w:ascii="Calibri" w:hAnsi="Calibri"/>
          <w:color w:val="auto"/>
          <w:sz w:val="32"/>
          <w:szCs w:val="32"/>
          <w:highlight w:val="none"/>
          <w:u w:val="single"/>
        </w:rPr>
        <w:t>厦门万翔网络商务有限公司</w:t>
      </w:r>
    </w:p>
    <w:p w14:paraId="5C75D878">
      <w:pPr>
        <w:spacing w:line="360" w:lineRule="auto"/>
        <w:ind w:left="420" w:leftChars="200"/>
        <w:rPr>
          <w:rFonts w:ascii="Calibri" w:hAnsi="Calibri"/>
          <w:color w:val="auto"/>
          <w:sz w:val="32"/>
          <w:szCs w:val="32"/>
          <w:highlight w:val="none"/>
          <w:u w:val="single"/>
        </w:rPr>
      </w:pPr>
      <w:r>
        <w:rPr>
          <w:rFonts w:hint="eastAsia" w:ascii="Calibri" w:hAnsi="Calibri"/>
          <w:color w:val="auto"/>
          <w:sz w:val="32"/>
          <w:szCs w:val="32"/>
          <w:highlight w:val="none"/>
        </w:rPr>
        <w:t>乙方：</w:t>
      </w:r>
    </w:p>
    <w:p w14:paraId="33CF209C">
      <w:pPr>
        <w:spacing w:line="360" w:lineRule="auto"/>
        <w:ind w:left="420" w:leftChars="200"/>
        <w:rPr>
          <w:rFonts w:ascii="Calibri" w:hAnsi="Calibri"/>
          <w:color w:val="auto"/>
          <w:sz w:val="32"/>
          <w:szCs w:val="32"/>
          <w:highlight w:val="none"/>
        </w:rPr>
      </w:pPr>
      <w:r>
        <w:rPr>
          <w:rFonts w:hint="eastAsia" w:ascii="Calibri" w:hAnsi="Calibri"/>
          <w:color w:val="auto"/>
          <w:sz w:val="32"/>
          <w:szCs w:val="32"/>
          <w:highlight w:val="none"/>
        </w:rPr>
        <w:t>签订时间：</w:t>
      </w:r>
    </w:p>
    <w:p w14:paraId="3F46F186">
      <w:pPr>
        <w:spacing w:line="360" w:lineRule="auto"/>
        <w:rPr>
          <w:rFonts w:ascii="Calibri" w:hAnsi="Calibri"/>
          <w:color w:val="auto"/>
          <w:szCs w:val="20"/>
          <w:highlight w:val="none"/>
        </w:rPr>
      </w:pPr>
    </w:p>
    <w:p w14:paraId="21773934">
      <w:pPr>
        <w:spacing w:line="360" w:lineRule="auto"/>
        <w:rPr>
          <w:rFonts w:ascii="Calibri" w:hAnsi="Calibri" w:eastAsia="黑体"/>
          <w:color w:val="auto"/>
          <w:sz w:val="44"/>
          <w:szCs w:val="44"/>
          <w:highlight w:val="none"/>
        </w:rPr>
      </w:pPr>
    </w:p>
    <w:p w14:paraId="14E18FDF">
      <w:pPr>
        <w:spacing w:line="360" w:lineRule="auto"/>
        <w:ind w:firstLine="880" w:firstLineChars="200"/>
        <w:rPr>
          <w:rFonts w:eastAsia="黑体"/>
          <w:color w:val="auto"/>
          <w:sz w:val="44"/>
          <w:szCs w:val="44"/>
          <w:highlight w:val="none"/>
        </w:rPr>
        <w:sectPr>
          <w:headerReference r:id="rId10" w:type="default"/>
          <w:footerReference r:id="rId11" w:type="default"/>
          <w:pgSz w:w="11906" w:h="16838"/>
          <w:pgMar w:top="1440" w:right="1800" w:bottom="1440" w:left="1800" w:header="851" w:footer="992" w:gutter="0"/>
          <w:pgNumType w:start="1"/>
          <w:cols w:space="425" w:num="1"/>
          <w:docGrid w:type="lines" w:linePitch="312" w:charSpace="0"/>
        </w:sectPr>
      </w:pPr>
    </w:p>
    <w:p w14:paraId="697D615E">
      <w:pPr>
        <w:pStyle w:val="2"/>
        <w:adjustRightInd w:val="0"/>
        <w:snapToGrid w:val="0"/>
        <w:spacing w:before="0" w:after="0" w:line="360" w:lineRule="auto"/>
        <w:jc w:val="center"/>
        <w:rPr>
          <w:rFonts w:ascii="黑体" w:hAnsi="黑体"/>
          <w:color w:val="auto"/>
          <w:sz w:val="28"/>
          <w:szCs w:val="28"/>
          <w:highlight w:val="none"/>
        </w:rPr>
      </w:pPr>
      <w:bookmarkStart w:id="7" w:name="_Toc22209"/>
    </w:p>
    <w:p w14:paraId="6CB3DBCA">
      <w:pPr>
        <w:pStyle w:val="2"/>
        <w:adjustRightInd w:val="0"/>
        <w:snapToGrid w:val="0"/>
        <w:spacing w:before="0" w:after="0" w:line="360" w:lineRule="auto"/>
        <w:jc w:val="center"/>
        <w:rPr>
          <w:rFonts w:ascii="黑体" w:hAnsi="华文中宋"/>
          <w:b w:val="0"/>
          <w:bCs w:val="0"/>
          <w:color w:val="auto"/>
          <w:sz w:val="28"/>
          <w:szCs w:val="28"/>
          <w:highlight w:val="none"/>
        </w:rPr>
      </w:pPr>
      <w:r>
        <w:rPr>
          <w:rFonts w:hint="eastAsia" w:ascii="黑体" w:hAnsi="黑体"/>
          <w:b w:val="0"/>
          <w:bCs w:val="0"/>
          <w:color w:val="auto"/>
          <w:sz w:val="28"/>
          <w:szCs w:val="28"/>
          <w:highlight w:val="none"/>
        </w:rPr>
        <w:t xml:space="preserve">第一节 </w:t>
      </w:r>
      <w:r>
        <w:rPr>
          <w:rFonts w:hint="eastAsia" w:ascii="黑体" w:hAnsi="华文中宋"/>
          <w:b w:val="0"/>
          <w:bCs w:val="0"/>
          <w:color w:val="auto"/>
          <w:sz w:val="28"/>
          <w:szCs w:val="28"/>
          <w:highlight w:val="none"/>
        </w:rPr>
        <w:t>政府采购合同协议书</w:t>
      </w:r>
      <w:bookmarkEnd w:id="7"/>
    </w:p>
    <w:p w14:paraId="62CB1F0B">
      <w:pPr>
        <w:pStyle w:val="2"/>
        <w:adjustRightInd w:val="0"/>
        <w:snapToGrid w:val="0"/>
        <w:spacing w:before="0" w:after="0" w:line="360" w:lineRule="auto"/>
        <w:jc w:val="center"/>
        <w:rPr>
          <w:rFonts w:ascii="黑体" w:hAnsi="华文中宋"/>
          <w:b w:val="0"/>
          <w:bCs w:val="0"/>
          <w:color w:val="auto"/>
          <w:sz w:val="28"/>
          <w:szCs w:val="28"/>
          <w:highlight w:val="none"/>
        </w:rPr>
      </w:pPr>
    </w:p>
    <w:p w14:paraId="286653F4">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甲方（全称）：</w:t>
      </w:r>
      <w:r>
        <w:rPr>
          <w:rFonts w:hint="eastAsia" w:ascii="宋体" w:hAnsi="宋体"/>
          <w:color w:val="auto"/>
          <w:szCs w:val="21"/>
          <w:highlight w:val="none"/>
          <w:u w:val="single"/>
        </w:rPr>
        <w:t>厦门万翔网络商务有限公司</w:t>
      </w:r>
      <w:r>
        <w:rPr>
          <w:rFonts w:hint="eastAsia" w:ascii="宋体" w:hAnsi="宋体"/>
          <w:color w:val="auto"/>
          <w:szCs w:val="21"/>
          <w:highlight w:val="none"/>
        </w:rPr>
        <w:t>（采购人、受采购人委托签订合同的单位或采购</w:t>
      </w:r>
      <w:r>
        <w:rPr>
          <w:rFonts w:hint="eastAsia" w:ascii="宋体" w:hAnsi="宋体"/>
          <w:color w:val="auto"/>
          <w:szCs w:val="21"/>
          <w:highlight w:val="none"/>
        </w:rPr>
        <w:tab/>
      </w:r>
      <w:r>
        <w:rPr>
          <w:rFonts w:hint="eastAsia" w:ascii="宋体" w:hAnsi="宋体"/>
          <w:color w:val="auto"/>
          <w:szCs w:val="21"/>
          <w:highlight w:val="none"/>
        </w:rPr>
        <w:t xml:space="preserve">                                   文件约定的合同甲方）</w:t>
      </w:r>
    </w:p>
    <w:p w14:paraId="254B2A65">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乙方1（全称）：（供应商）</w:t>
      </w:r>
    </w:p>
    <w:p w14:paraId="0E75CD15">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乙方2（全称）：（联合体成员供应商或其他合同主体）（如有）</w:t>
      </w:r>
    </w:p>
    <w:p w14:paraId="67BE555D">
      <w:pPr>
        <w:adjustRightInd w:val="0"/>
        <w:snapToGrid w:val="0"/>
        <w:spacing w:line="360" w:lineRule="auto"/>
        <w:rPr>
          <w:rFonts w:ascii="宋体" w:hAnsi="宋体"/>
          <w:color w:val="auto"/>
          <w:szCs w:val="21"/>
          <w:highlight w:val="none"/>
        </w:rPr>
      </w:pPr>
      <w:r>
        <w:rPr>
          <w:rFonts w:hint="eastAsia" w:ascii="Calibri" w:hAnsi="Calibri"/>
          <w:color w:val="auto"/>
          <w:szCs w:val="20"/>
          <w:highlight w:val="none"/>
        </w:rPr>
        <w:t>乙方</w:t>
      </w:r>
      <w:r>
        <w:rPr>
          <w:rFonts w:hint="eastAsia" w:ascii="宋体" w:hAnsi="宋体"/>
          <w:color w:val="auto"/>
          <w:szCs w:val="21"/>
          <w:highlight w:val="none"/>
        </w:rPr>
        <w:t>3</w:t>
      </w:r>
      <w:r>
        <w:rPr>
          <w:rFonts w:hint="eastAsia" w:ascii="Calibri" w:hAnsi="Calibri"/>
          <w:color w:val="auto"/>
          <w:szCs w:val="20"/>
          <w:highlight w:val="none"/>
        </w:rPr>
        <w:t>（全称）</w:t>
      </w:r>
      <w:r>
        <w:rPr>
          <w:rFonts w:hint="eastAsia" w:ascii="宋体" w:hAnsi="宋体"/>
          <w:color w:val="auto"/>
          <w:szCs w:val="21"/>
          <w:highlight w:val="none"/>
        </w:rPr>
        <w:t>（联合体成员供应商或其他合同主体）（如有）</w:t>
      </w:r>
    </w:p>
    <w:p w14:paraId="03714A32">
      <w:pPr>
        <w:spacing w:line="360" w:lineRule="auto"/>
        <w:rPr>
          <w:rFonts w:ascii="Calibri" w:hAnsi="Calibri"/>
          <w:color w:val="auto"/>
          <w:szCs w:val="20"/>
          <w:highlight w:val="none"/>
        </w:rPr>
      </w:pPr>
    </w:p>
    <w:p w14:paraId="65F202C8">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7DF2AC5B">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项目信息</w:t>
      </w:r>
    </w:p>
    <w:p w14:paraId="3DEDE3A2">
      <w:pPr>
        <w:numPr>
          <w:ilvl w:val="255"/>
          <w:numId w:val="0"/>
        </w:numPr>
        <w:tabs>
          <w:tab w:val="left" w:pos="999"/>
          <w:tab w:val="left" w:pos="6480"/>
        </w:tabs>
        <w:adjustRightInd w:val="0"/>
        <w:snapToGrid w:val="0"/>
        <w:spacing w:line="360" w:lineRule="auto"/>
        <w:ind w:firstLine="630" w:firstLineChars="300"/>
        <w:rPr>
          <w:rFonts w:hint="eastAsia" w:ascii="宋体" w:hAnsi="宋体"/>
          <w:color w:val="auto"/>
          <w:szCs w:val="21"/>
          <w:highlight w:val="none"/>
        </w:rPr>
      </w:pPr>
      <w:r>
        <w:rPr>
          <w:rFonts w:hint="eastAsia" w:ascii="宋体" w:hAnsi="宋体"/>
          <w:color w:val="auto"/>
          <w:szCs w:val="21"/>
          <w:highlight w:val="none"/>
        </w:rPr>
        <w:t xml:space="preserve">采购项目名称：         </w:t>
      </w:r>
    </w:p>
    <w:p w14:paraId="6E2C6173">
      <w:pPr>
        <w:numPr>
          <w:ilvl w:val="255"/>
          <w:numId w:val="0"/>
        </w:numPr>
        <w:tabs>
          <w:tab w:val="left" w:pos="999"/>
          <w:tab w:val="left" w:pos="6480"/>
        </w:tabs>
        <w:adjustRightInd w:val="0"/>
        <w:snapToGrid w:val="0"/>
        <w:spacing w:line="360" w:lineRule="auto"/>
        <w:ind w:firstLine="630" w:firstLineChars="300"/>
        <w:rPr>
          <w:rFonts w:hint="eastAsia" w:ascii="宋体" w:hAnsi="宋体" w:eastAsia="宋体"/>
          <w:color w:val="auto"/>
          <w:szCs w:val="21"/>
          <w:highlight w:val="none"/>
          <w:lang w:val="en-US" w:eastAsia="zh-CN"/>
        </w:rPr>
      </w:pPr>
      <w:r>
        <w:rPr>
          <w:rFonts w:hint="eastAsia" w:ascii="宋体" w:hAnsi="宋体"/>
          <w:color w:val="auto"/>
          <w:szCs w:val="21"/>
          <w:highlight w:val="none"/>
        </w:rPr>
        <w:t>采购项目编号：</w:t>
      </w:r>
      <w:r>
        <w:rPr>
          <w:rFonts w:hint="eastAsia" w:ascii="宋体" w:hAnsi="宋体"/>
          <w:color w:val="auto"/>
          <w:sz w:val="21"/>
          <w:szCs w:val="21"/>
          <w:highlight w:val="none"/>
          <w:u w:val="none"/>
          <w:lang w:eastAsia="zh-CN"/>
        </w:rPr>
        <w:t>XM2025-DZ0014C3</w:t>
      </w:r>
    </w:p>
    <w:p w14:paraId="1D303A49">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（2）采购计划编号：</w:t>
      </w:r>
    </w:p>
    <w:p w14:paraId="4ADA6B76">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（3）项目内容：</w:t>
      </w:r>
    </w:p>
    <w:p w14:paraId="71BDF5B3">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     采购标的及数量（台/套</w:t>
      </w:r>
      <w:r>
        <w:rPr>
          <w:rFonts w:ascii="宋体" w:hAnsi="宋体"/>
          <w:color w:val="auto"/>
          <w:szCs w:val="21"/>
          <w:highlight w:val="none"/>
        </w:rPr>
        <w:t>/</w:t>
      </w:r>
      <w:r>
        <w:rPr>
          <w:rFonts w:hint="eastAsia" w:ascii="宋体" w:hAnsi="宋体"/>
          <w:color w:val="auto"/>
          <w:szCs w:val="21"/>
          <w:highlight w:val="none"/>
        </w:rPr>
        <w:t>个</w:t>
      </w:r>
      <w:r>
        <w:rPr>
          <w:rFonts w:ascii="宋体" w:hAnsi="宋体"/>
          <w:color w:val="auto"/>
          <w:szCs w:val="21"/>
          <w:highlight w:val="none"/>
        </w:rPr>
        <w:t>/</w:t>
      </w:r>
      <w:r>
        <w:rPr>
          <w:rFonts w:hint="eastAsia" w:ascii="宋体" w:hAnsi="宋体"/>
          <w:color w:val="auto"/>
          <w:szCs w:val="21"/>
          <w:highlight w:val="none"/>
        </w:rPr>
        <w:t>架</w:t>
      </w:r>
      <w:r>
        <w:rPr>
          <w:rFonts w:ascii="宋体" w:hAnsi="宋体"/>
          <w:color w:val="auto"/>
          <w:szCs w:val="21"/>
          <w:highlight w:val="none"/>
        </w:rPr>
        <w:t>/</w:t>
      </w:r>
      <w:r>
        <w:rPr>
          <w:rFonts w:hint="eastAsia" w:ascii="宋体" w:hAnsi="宋体"/>
          <w:color w:val="auto"/>
          <w:szCs w:val="21"/>
          <w:highlight w:val="none"/>
        </w:rPr>
        <w:t>组等）：</w:t>
      </w:r>
    </w:p>
    <w:p w14:paraId="72873712">
      <w:pPr>
        <w:numPr>
          <w:ilvl w:val="255"/>
          <w:numId w:val="0"/>
        </w:num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品牌：规格型号：</w:t>
      </w:r>
    </w:p>
    <w:p w14:paraId="28A6FF0C">
      <w:pPr>
        <w:adjustRightInd w:val="0"/>
        <w:snapToGrid w:val="0"/>
        <w:spacing w:line="360" w:lineRule="auto"/>
        <w:ind w:firstLine="945" w:firstLineChars="450"/>
        <w:rPr>
          <w:rFonts w:ascii="宋体" w:hAnsi="宋体"/>
          <w:color w:val="auto"/>
          <w:szCs w:val="21"/>
          <w:highlight w:val="none"/>
          <w:u w:val="single"/>
        </w:rPr>
      </w:pPr>
      <w:r>
        <w:rPr>
          <w:rFonts w:hint="eastAsia" w:ascii="宋体" w:hAnsi="宋体"/>
          <w:color w:val="auto"/>
          <w:szCs w:val="21"/>
          <w:highlight w:val="none"/>
        </w:rPr>
        <w:t>采购标的的技术要求、商务要求具体见附件。</w:t>
      </w:r>
    </w:p>
    <w:p w14:paraId="72220A76">
      <w:pPr>
        <w:numPr>
          <w:ilvl w:val="255"/>
          <w:numId w:val="0"/>
        </w:numPr>
        <w:adjustRightInd w:val="0"/>
        <w:snapToGrid w:val="0"/>
        <w:spacing w:line="360" w:lineRule="auto"/>
        <w:ind w:firstLine="945" w:firstLineChars="450"/>
        <w:rPr>
          <w:rFonts w:ascii="宋体" w:hAnsi="宋体" w:cs="宋体"/>
          <w:color w:val="auto"/>
          <w:szCs w:val="21"/>
          <w:highlight w:val="none"/>
        </w:rPr>
      </w:pPr>
      <w:r>
        <w:rPr>
          <w:rFonts w:hint="eastAsia" w:ascii="汉仪书宋二S" w:hAnsi="汉仪书宋二S" w:eastAsia="汉仪书宋二S" w:cs="汉仪书宋二S"/>
          <w:color w:val="auto"/>
          <w:szCs w:val="21"/>
          <w:highlight w:val="none"/>
        </w:rPr>
        <w:t>①</w:t>
      </w:r>
      <w:r>
        <w:rPr>
          <w:rFonts w:hint="eastAsia" w:ascii="宋体" w:hAnsi="宋体" w:cs="宋体"/>
          <w:color w:val="auto"/>
          <w:szCs w:val="21"/>
          <w:highlight w:val="none"/>
        </w:rPr>
        <w:t>涉及信息类产品，请填写该产品关键部件的品牌、型号：</w:t>
      </w:r>
    </w:p>
    <w:p w14:paraId="03CEB0F1">
      <w:pPr>
        <w:numPr>
          <w:ilvl w:val="255"/>
          <w:numId w:val="0"/>
        </w:numPr>
        <w:adjustRightInd w:val="0"/>
        <w:snapToGrid w:val="0"/>
        <w:spacing w:line="360" w:lineRule="auto"/>
        <w:ind w:firstLine="420" w:firstLineChars="200"/>
        <w:rPr>
          <w:rFonts w:ascii="宋体" w:hAnsi="宋体" w:cs="宋体"/>
          <w:color w:val="auto"/>
          <w:kern w:val="0"/>
          <w:szCs w:val="21"/>
          <w:highlight w:val="none"/>
          <w:u w:val="single"/>
        </w:rPr>
      </w:pPr>
      <w:r>
        <w:rPr>
          <w:rFonts w:hint="eastAsia" w:ascii="宋体" w:hAnsi="宋体" w:cs="宋体"/>
          <w:color w:val="auto"/>
          <w:szCs w:val="21"/>
          <w:highlight w:val="none"/>
        </w:rPr>
        <w:t xml:space="preserve">     标的名称：</w:t>
      </w:r>
    </w:p>
    <w:p w14:paraId="4437C586">
      <w:pPr>
        <w:numPr>
          <w:ilvl w:val="255"/>
          <w:numId w:val="0"/>
        </w:num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关键部件：品牌： 型号：</w:t>
      </w:r>
    </w:p>
    <w:p w14:paraId="5AE7F5FF">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kern w:val="2"/>
          <w:sz w:val="21"/>
          <w:highlight w:val="none"/>
        </w:rPr>
        <w:t>关键部件</w:t>
      </w:r>
      <w:r>
        <w:rPr>
          <w:rFonts w:hint="eastAsia" w:ascii="宋体" w:hAnsi="宋体" w:eastAsia="宋体" w:cs="宋体"/>
          <w:color w:val="auto"/>
          <w:sz w:val="21"/>
          <w:highlight w:val="none"/>
        </w:rPr>
        <w:t>： 品牌： 型号：</w:t>
      </w:r>
    </w:p>
    <w:p w14:paraId="5CB7B31D">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关键部件： 品牌： 型号：</w:t>
      </w:r>
    </w:p>
    <w:p w14:paraId="47837ED8">
      <w:pPr>
        <w:pStyle w:val="17"/>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t xml:space="preserve">   （注：关键部件是指财政部会同有关部门发布的政府采购需求标准规定的需要通过国家有关部门指定的测评机构开展的安全可靠测评的软硬件，如CPU芯片、操作系统、数据库等。）</w:t>
      </w:r>
    </w:p>
    <w:p w14:paraId="3812A016">
      <w:pPr>
        <w:pStyle w:val="17"/>
        <w:numPr>
          <w:ilvl w:val="255"/>
          <w:numId w:val="0"/>
        </w:numPr>
        <w:snapToGrid w:val="0"/>
        <w:spacing w:line="360" w:lineRule="auto"/>
        <w:rPr>
          <w:rFonts w:ascii="宋体" w:hAnsi="宋体" w:eastAsia="宋体" w:cs="宋体"/>
          <w:color w:val="auto"/>
          <w:sz w:val="21"/>
          <w:highlight w:val="none"/>
        </w:rPr>
      </w:pPr>
      <w:r>
        <w:rPr>
          <w:rFonts w:hint="eastAsia" w:ascii="汉仪书宋二S" w:hAnsi="汉仪书宋二S" w:eastAsia="汉仪书宋二S" w:cs="汉仪书宋二S"/>
          <w:color w:val="auto"/>
          <w:sz w:val="21"/>
          <w:highlight w:val="none"/>
        </w:rPr>
        <w:t>②</w:t>
      </w:r>
      <w:r>
        <w:rPr>
          <w:rFonts w:hint="eastAsia" w:ascii="宋体" w:hAnsi="宋体" w:eastAsia="宋体" w:cs="宋体"/>
          <w:color w:val="auto"/>
          <w:sz w:val="21"/>
          <w:highlight w:val="none"/>
        </w:rPr>
        <w:t>涉及车辆采购，请填写是否属于新能源汽车：</w:t>
      </w:r>
    </w:p>
    <w:p w14:paraId="289EE364">
      <w:pPr>
        <w:pStyle w:val="17"/>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是，《政府采购品目分类目录》底级品目名称： 数量： 金额：</w:t>
      </w:r>
    </w:p>
    <w:p w14:paraId="6EF8DAF6">
      <w:pPr>
        <w:pStyle w:val="17"/>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否</w:t>
      </w:r>
    </w:p>
    <w:p w14:paraId="6D31B2BC">
      <w:pPr>
        <w:pStyle w:val="17"/>
        <w:numPr>
          <w:ilvl w:val="255"/>
          <w:numId w:val="0"/>
        </w:numPr>
        <w:snapToGrid w:val="0"/>
        <w:spacing w:line="360" w:lineRule="auto"/>
        <w:rPr>
          <w:rFonts w:ascii="宋体" w:hAnsi="宋体" w:eastAsia="宋体" w:cs="宋体"/>
          <w:color w:val="auto"/>
          <w:sz w:val="21"/>
          <w:highlight w:val="none"/>
        </w:rPr>
      </w:pPr>
      <w:r>
        <w:rPr>
          <w:rFonts w:hint="eastAsia" w:ascii="宋体" w:hAnsi="宋体" w:eastAsia="宋体" w:cs="宋体"/>
          <w:color w:val="auto"/>
          <w:sz w:val="21"/>
          <w:highlight w:val="none"/>
        </w:rPr>
        <w:t xml:space="preserve">    （</w:t>
      </w:r>
      <w:r>
        <w:rPr>
          <w:rFonts w:ascii="宋体" w:hAnsi="宋体" w:eastAsia="宋体" w:cs="宋体"/>
          <w:color w:val="auto"/>
          <w:sz w:val="21"/>
          <w:highlight w:val="none"/>
        </w:rPr>
        <w:t>4</w:t>
      </w:r>
      <w:r>
        <w:rPr>
          <w:rFonts w:hint="eastAsia" w:ascii="宋体" w:hAnsi="宋体" w:eastAsia="宋体" w:cs="宋体"/>
          <w:color w:val="auto"/>
          <w:sz w:val="21"/>
          <w:highlight w:val="none"/>
        </w:rPr>
        <w:t>）政府采购组织形式：</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政府集中采购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部门集中采购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分散采购</w:t>
      </w:r>
    </w:p>
    <w:p w14:paraId="67DE4943">
      <w:pPr>
        <w:pStyle w:val="17"/>
        <w:numPr>
          <w:ilvl w:val="255"/>
          <w:numId w:val="0"/>
        </w:numPr>
        <w:snapToGrid w:val="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w:t>
      </w:r>
      <w:r>
        <w:rPr>
          <w:rFonts w:ascii="宋体" w:hAnsi="宋体" w:eastAsia="宋体" w:cs="宋体"/>
          <w:color w:val="auto"/>
          <w:sz w:val="21"/>
          <w:highlight w:val="none"/>
        </w:rPr>
        <w:t>5</w:t>
      </w:r>
      <w:r>
        <w:rPr>
          <w:rFonts w:hint="eastAsia" w:ascii="宋体" w:hAnsi="宋体" w:eastAsia="宋体" w:cs="宋体"/>
          <w:color w:val="auto"/>
          <w:sz w:val="21"/>
          <w:highlight w:val="none"/>
        </w:rPr>
        <w:t>）政府采购方式：</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公开招标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邀请招标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竞争性谈判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竞争性磋商</w:t>
      </w:r>
    </w:p>
    <w:p w14:paraId="7FC21BB2">
      <w:pPr>
        <w:pStyle w:val="17"/>
        <w:numPr>
          <w:ilvl w:val="255"/>
          <w:numId w:val="0"/>
        </w:numPr>
        <w:snapToGrid w:val="0"/>
        <w:spacing w:line="360" w:lineRule="auto"/>
        <w:ind w:firstLine="420"/>
        <w:rPr>
          <w:rFonts w:ascii="宋体" w:hAnsi="宋体" w:eastAsia="宋体" w:cs="宋体"/>
          <w:color w:val="auto"/>
          <w:sz w:val="21"/>
          <w:highlight w:val="none"/>
          <w:u w:val="single"/>
        </w:rPr>
      </w:pP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询价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单一来源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 xml:space="preserve">框架协议 </w:t>
      </w:r>
      <w:r>
        <w:rPr>
          <w:rFonts w:hint="eastAsia" w:ascii="宋体" w:hAnsi="宋体" w:eastAsia="宋体" w:cs="宋体"/>
          <w:color w:val="auto"/>
          <w:sz w:val="21"/>
          <w:highlight w:val="none"/>
        </w:rPr>
        <w:sym w:font="Wingdings" w:char="00A8"/>
      </w:r>
      <w:r>
        <w:rPr>
          <w:rFonts w:hint="eastAsia" w:ascii="宋体" w:hAnsi="宋体" w:eastAsia="宋体" w:cs="宋体"/>
          <w:color w:val="auto"/>
          <w:sz w:val="21"/>
          <w:highlight w:val="none"/>
        </w:rPr>
        <w:t>其他：</w:t>
      </w:r>
    </w:p>
    <w:p w14:paraId="1464D6E4">
      <w:pPr>
        <w:pStyle w:val="17"/>
        <w:numPr>
          <w:ilvl w:val="255"/>
          <w:numId w:val="0"/>
        </w:numPr>
        <w:snapToGrid w:val="0"/>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（注：在框架协议采购的第二阶段，可选择使用该合同文本）</w:t>
      </w:r>
    </w:p>
    <w:p w14:paraId="6CC2E6F0">
      <w:pPr>
        <w:pStyle w:val="17"/>
        <w:numPr>
          <w:ilvl w:val="255"/>
          <w:numId w:val="0"/>
        </w:numPr>
        <w:snapToGrid w:val="0"/>
        <w:spacing w:line="360" w:lineRule="auto"/>
        <w:ind w:firstLine="220" w:firstLineChars="100"/>
        <w:rPr>
          <w:rFonts w:ascii="宋体" w:hAnsi="宋体" w:eastAsia="宋体" w:cs="Times New Roman"/>
          <w:color w:val="auto"/>
          <w:kern w:val="2"/>
          <w:sz w:val="21"/>
          <w:highlight w:val="none"/>
        </w:rPr>
      </w:pPr>
      <w:r>
        <w:rPr>
          <w:rFonts w:hint="eastAsia" w:ascii="宋体" w:hAnsi="宋体"/>
          <w:color w:val="auto"/>
          <w:highlight w:val="none"/>
        </w:rPr>
        <w:t>（</w:t>
      </w:r>
      <w:r>
        <w:rPr>
          <w:rFonts w:ascii="宋体" w:hAnsi="宋体"/>
          <w:color w:val="auto"/>
          <w:highlight w:val="none"/>
        </w:rPr>
        <w:t>6</w:t>
      </w:r>
      <w:r>
        <w:rPr>
          <w:rFonts w:hint="eastAsia" w:ascii="宋体" w:hAnsi="宋体"/>
          <w:color w:val="auto"/>
          <w:highlight w:val="none"/>
        </w:rPr>
        <w:t>）</w:t>
      </w:r>
      <w:r>
        <w:rPr>
          <w:rFonts w:hint="eastAsia" w:ascii="宋体" w:hAnsi="宋体" w:eastAsia="宋体" w:cs="Times New Roman"/>
          <w:color w:val="auto"/>
          <w:kern w:val="2"/>
          <w:sz w:val="21"/>
          <w:highlight w:val="none"/>
        </w:rPr>
        <w:t>中标（成交）采购标的制造商是否为中小企业：</w:t>
      </w: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 xml:space="preserve">是      </w:t>
      </w: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否</w:t>
      </w:r>
    </w:p>
    <w:p w14:paraId="4B8664A1">
      <w:pPr>
        <w:numPr>
          <w:ilvl w:val="255"/>
          <w:numId w:val="0"/>
        </w:numPr>
        <w:adjustRightInd w:val="0"/>
        <w:snapToGrid w:val="0"/>
        <w:spacing w:line="360" w:lineRule="auto"/>
        <w:rPr>
          <w:rFonts w:ascii="宋体" w:hAnsi="宋体"/>
          <w:iCs/>
          <w:color w:val="auto"/>
          <w:szCs w:val="21"/>
          <w:highlight w:val="none"/>
        </w:rPr>
      </w:pPr>
      <w:r>
        <w:rPr>
          <w:rFonts w:hint="eastAsia" w:ascii="宋体" w:hAnsi="宋体"/>
          <w:color w:val="auto"/>
          <w:szCs w:val="21"/>
          <w:highlight w:val="none"/>
        </w:rPr>
        <w:t xml:space="preserve">         本合同是否为专门面向中小企业的采购合同（中小企业预留合同）：</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00419242">
      <w:pPr>
        <w:numPr>
          <w:ilvl w:val="255"/>
          <w:numId w:val="0"/>
        </w:numPr>
        <w:adjustRightInd w:val="0"/>
        <w:snapToGrid w:val="0"/>
        <w:spacing w:line="360" w:lineRule="auto"/>
        <w:rPr>
          <w:rFonts w:ascii="宋体" w:hAnsi="宋体"/>
          <w:iCs/>
          <w:color w:val="auto"/>
          <w:szCs w:val="21"/>
          <w:highlight w:val="none"/>
        </w:rPr>
      </w:pPr>
      <w:r>
        <w:rPr>
          <w:rFonts w:hint="eastAsia" w:ascii="Calibri" w:hAnsi="Calibri"/>
          <w:color w:val="auto"/>
          <w:szCs w:val="20"/>
          <w:highlight w:val="none"/>
        </w:rPr>
        <w:t>若本项目不专门面向中小企业采购，是否给予小微企业评审优惠：</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204D7011">
      <w:pPr>
        <w:numPr>
          <w:ilvl w:val="255"/>
          <w:numId w:val="0"/>
        </w:numPr>
        <w:adjustRightInd w:val="0"/>
        <w:snapToGrid w:val="0"/>
        <w:spacing w:line="360" w:lineRule="auto"/>
        <w:rPr>
          <w:rFonts w:ascii="宋体" w:hAnsi="宋体"/>
          <w:iCs/>
          <w:color w:val="auto"/>
          <w:szCs w:val="21"/>
          <w:highlight w:val="none"/>
        </w:rPr>
      </w:pPr>
      <w:r>
        <w:rPr>
          <w:rFonts w:hint="eastAsia" w:ascii="Calibri" w:hAnsi="Calibri"/>
          <w:color w:val="auto"/>
          <w:szCs w:val="20"/>
          <w:highlight w:val="none"/>
        </w:rPr>
        <w:t>中标（成交）采购标的制造商是否为残疾人福利性单位：</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1361AF21">
      <w:pPr>
        <w:snapToGrid w:val="0"/>
        <w:spacing w:line="360" w:lineRule="auto"/>
        <w:rPr>
          <w:rFonts w:ascii="Calibri" w:hAnsi="Calibri"/>
          <w:color w:val="auto"/>
          <w:szCs w:val="20"/>
          <w:highlight w:val="none"/>
        </w:rPr>
      </w:pPr>
      <w:r>
        <w:rPr>
          <w:rFonts w:hint="eastAsia" w:ascii="Calibri" w:hAnsi="Calibri"/>
          <w:color w:val="auto"/>
          <w:szCs w:val="20"/>
          <w:highlight w:val="none"/>
        </w:rPr>
        <w:t>中标（成交）采购标的制造商是否为监狱企业：</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5463875B">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w:t>
      </w:r>
      <w:r>
        <w:rPr>
          <w:rFonts w:ascii="宋体" w:hAnsi="宋体"/>
          <w:color w:val="auto"/>
          <w:szCs w:val="21"/>
          <w:highlight w:val="none"/>
        </w:rPr>
        <w:t>7</w:t>
      </w:r>
      <w:r>
        <w:rPr>
          <w:rFonts w:hint="eastAsia" w:ascii="宋体" w:hAnsi="宋体"/>
          <w:color w:val="auto"/>
          <w:szCs w:val="21"/>
          <w:highlight w:val="none"/>
        </w:rPr>
        <w:t>）合同是否分包：</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是       </w:t>
      </w:r>
      <w:r>
        <w:rPr>
          <w:rFonts w:hint="eastAsia" w:ascii="宋体" w:hAnsi="宋体"/>
          <w:iCs/>
          <w:color w:val="auto"/>
          <w:szCs w:val="21"/>
          <w:highlight w:val="none"/>
        </w:rPr>
        <w:sym w:font="Wingdings" w:char="00A8"/>
      </w:r>
      <w:r>
        <w:rPr>
          <w:rFonts w:hint="eastAsia" w:ascii="宋体" w:hAnsi="宋体"/>
          <w:iCs/>
          <w:color w:val="auto"/>
          <w:szCs w:val="21"/>
          <w:highlight w:val="none"/>
        </w:rPr>
        <w:t>否</w:t>
      </w:r>
    </w:p>
    <w:p w14:paraId="0817461D">
      <w:pPr>
        <w:adjustRightInd w:val="0"/>
        <w:snapToGrid w:val="0"/>
        <w:spacing w:line="360" w:lineRule="auto"/>
        <w:ind w:firstLine="840" w:firstLineChars="400"/>
        <w:rPr>
          <w:rFonts w:ascii="宋体" w:hAnsi="宋体"/>
          <w:color w:val="auto"/>
          <w:szCs w:val="21"/>
          <w:highlight w:val="none"/>
          <w:u w:val="single"/>
        </w:rPr>
      </w:pPr>
      <w:r>
        <w:rPr>
          <w:rFonts w:hint="eastAsia" w:ascii="宋体" w:hAnsi="宋体"/>
          <w:color w:val="auto"/>
          <w:szCs w:val="21"/>
          <w:highlight w:val="none"/>
        </w:rPr>
        <w:t xml:space="preserve"> 分包主要内容：</w:t>
      </w:r>
    </w:p>
    <w:p w14:paraId="3676CEFA">
      <w:p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t xml:space="preserve"> 分包供应商/制造商名称（如供应商和制造商不同，请分别填写）：</w:t>
      </w:r>
    </w:p>
    <w:p w14:paraId="129E9C5E">
      <w:pPr>
        <w:adjustRightInd w:val="0"/>
        <w:snapToGrid w:val="0"/>
        <w:spacing w:line="360" w:lineRule="auto"/>
        <w:ind w:firstLine="840" w:firstLineChars="400"/>
        <w:rPr>
          <w:rFonts w:ascii="宋体" w:hAnsi="宋体"/>
          <w:color w:val="auto"/>
          <w:szCs w:val="21"/>
          <w:highlight w:val="none"/>
          <w:u w:val="single"/>
        </w:rPr>
      </w:pPr>
    </w:p>
    <w:p w14:paraId="3563BBE5">
      <w:p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t xml:space="preserve"> 分包供应商/制造商类型（如果供应商和制造商不同，只填写制造商类型）：</w:t>
      </w:r>
    </w:p>
    <w:p w14:paraId="03A63548">
      <w:pPr>
        <w:adjustRightInd w:val="0"/>
        <w:snapToGrid w:val="0"/>
        <w:spacing w:line="360" w:lineRule="auto"/>
        <w:ind w:firstLine="840" w:firstLineChars="400"/>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大型企业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中型企业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小微型企业  </w:t>
      </w:r>
    </w:p>
    <w:p w14:paraId="78062E70">
      <w:pPr>
        <w:adjustRightInd w:val="0"/>
        <w:snapToGrid w:val="0"/>
        <w:spacing w:line="360" w:lineRule="auto"/>
        <w:ind w:firstLine="840" w:firstLineChars="400"/>
        <w:rPr>
          <w:rFonts w:ascii="Calibri" w:hAnsi="Calibri" w:eastAsia="华文楷体"/>
          <w:color w:val="auto"/>
          <w:szCs w:val="20"/>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残疾人福利性单位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监狱企业 </w:t>
      </w:r>
      <w:r>
        <w:rPr>
          <w:rFonts w:hint="eastAsia" w:ascii="宋体" w:hAnsi="宋体"/>
          <w:iCs/>
          <w:color w:val="auto"/>
          <w:szCs w:val="21"/>
          <w:highlight w:val="none"/>
        </w:rPr>
        <w:sym w:font="Wingdings" w:char="00A8"/>
      </w:r>
      <w:r>
        <w:rPr>
          <w:rFonts w:hint="eastAsia" w:ascii="宋体" w:hAnsi="宋体"/>
          <w:iCs/>
          <w:color w:val="auto"/>
          <w:szCs w:val="21"/>
          <w:highlight w:val="none"/>
        </w:rPr>
        <w:t>其他</w:t>
      </w:r>
    </w:p>
    <w:p w14:paraId="75FE0BA1">
      <w:pPr>
        <w:numPr>
          <w:ilvl w:val="255"/>
          <w:numId w:val="0"/>
        </w:numPr>
        <w:adjustRightInd w:val="0"/>
        <w:snapToGrid w:val="0"/>
        <w:spacing w:line="360" w:lineRule="auto"/>
        <w:rPr>
          <w:rFonts w:ascii="宋体" w:hAnsi="宋体" w:cs="宋体"/>
          <w:iCs/>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8</w:t>
      </w:r>
      <w:r>
        <w:rPr>
          <w:rFonts w:hint="eastAsia" w:ascii="宋体" w:hAnsi="宋体" w:cs="宋体"/>
          <w:color w:val="auto"/>
          <w:szCs w:val="21"/>
          <w:highlight w:val="none"/>
        </w:rPr>
        <w:t>）中标（成交）供应商是否为外商投资企业：</w:t>
      </w:r>
      <w:r>
        <w:rPr>
          <w:rFonts w:hint="eastAsia" w:ascii="宋体" w:hAnsi="宋体" w:cs="宋体"/>
          <w:iCs/>
          <w:color w:val="auto"/>
          <w:szCs w:val="21"/>
          <w:highlight w:val="none"/>
        </w:rPr>
        <w:sym w:font="Wingdings" w:char="00A8"/>
      </w:r>
      <w:r>
        <w:rPr>
          <w:rFonts w:hint="eastAsia" w:ascii="宋体" w:hAnsi="宋体" w:cs="宋体"/>
          <w:iCs/>
          <w:color w:val="auto"/>
          <w:szCs w:val="21"/>
          <w:highlight w:val="none"/>
        </w:rPr>
        <w:t xml:space="preserve">是       </w:t>
      </w:r>
      <w:r>
        <w:rPr>
          <w:rFonts w:hint="eastAsia" w:ascii="宋体" w:hAnsi="宋体" w:cs="宋体"/>
          <w:iCs/>
          <w:color w:val="auto"/>
          <w:szCs w:val="21"/>
          <w:highlight w:val="none"/>
        </w:rPr>
        <w:sym w:font="Wingdings" w:char="00A8"/>
      </w:r>
      <w:r>
        <w:rPr>
          <w:rFonts w:hint="eastAsia" w:ascii="宋体" w:hAnsi="宋体" w:cs="宋体"/>
          <w:iCs/>
          <w:color w:val="auto"/>
          <w:szCs w:val="21"/>
          <w:highlight w:val="none"/>
        </w:rPr>
        <w:t>否</w:t>
      </w:r>
    </w:p>
    <w:p w14:paraId="2C1D1D70">
      <w:pPr>
        <w:pStyle w:val="17"/>
        <w:tabs>
          <w:tab w:val="left" w:pos="1340"/>
        </w:tabs>
        <w:spacing w:line="360" w:lineRule="auto"/>
        <w:ind w:firstLine="420"/>
        <w:rPr>
          <w:rFonts w:ascii="宋体" w:hAnsi="宋体" w:eastAsia="宋体" w:cs="宋体"/>
          <w:color w:val="auto"/>
          <w:sz w:val="21"/>
          <w:highlight w:val="none"/>
          <w:u w:val="single"/>
        </w:rPr>
      </w:pPr>
      <w:r>
        <w:rPr>
          <w:rFonts w:hint="eastAsia" w:ascii="宋体" w:hAnsi="宋体" w:eastAsia="宋体" w:cs="宋体"/>
          <w:color w:val="auto"/>
          <w:sz w:val="21"/>
          <w:highlight w:val="none"/>
        </w:rPr>
        <w:t xml:space="preserve">     外商投资企业类型：</w:t>
      </w:r>
      <w:r>
        <w:rPr>
          <w:rFonts w:hint="eastAsia" w:ascii="宋体" w:hAnsi="宋体" w:eastAsia="宋体" w:cs="宋体"/>
          <w:iCs/>
          <w:color w:val="auto"/>
          <w:sz w:val="21"/>
          <w:highlight w:val="none"/>
        </w:rPr>
        <w:sym w:font="Wingdings" w:char="00A8"/>
      </w:r>
      <w:r>
        <w:rPr>
          <w:rFonts w:hint="eastAsia" w:ascii="宋体" w:hAnsi="宋体" w:eastAsia="宋体" w:cs="宋体"/>
          <w:color w:val="auto"/>
          <w:sz w:val="21"/>
          <w:highlight w:val="none"/>
        </w:rPr>
        <w:t xml:space="preserve">全部由外国投资者投资  </w:t>
      </w:r>
      <w:r>
        <w:rPr>
          <w:rFonts w:hint="eastAsia" w:ascii="宋体" w:hAnsi="宋体" w:eastAsia="宋体" w:cs="宋体"/>
          <w:iCs/>
          <w:color w:val="auto"/>
          <w:sz w:val="21"/>
          <w:highlight w:val="none"/>
        </w:rPr>
        <w:sym w:font="Wingdings" w:char="00A8"/>
      </w:r>
      <w:r>
        <w:rPr>
          <w:rFonts w:hint="eastAsia" w:ascii="宋体" w:hAnsi="宋体" w:eastAsia="宋体" w:cs="宋体"/>
          <w:iCs/>
          <w:color w:val="auto"/>
          <w:sz w:val="21"/>
          <w:highlight w:val="none"/>
        </w:rPr>
        <w:t>部分由外国投资者投资</w:t>
      </w:r>
    </w:p>
    <w:p w14:paraId="0BD0729C">
      <w:pPr>
        <w:numPr>
          <w:ilvl w:val="255"/>
          <w:numId w:val="0"/>
        </w:num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w:t>
      </w:r>
      <w:r>
        <w:rPr>
          <w:rFonts w:ascii="宋体" w:hAnsi="宋体" w:cs="宋体"/>
          <w:color w:val="auto"/>
          <w:szCs w:val="21"/>
          <w:highlight w:val="none"/>
        </w:rPr>
        <w:t>9</w:t>
      </w:r>
      <w:r>
        <w:rPr>
          <w:rFonts w:hint="eastAsia" w:ascii="宋体" w:hAnsi="宋体" w:cs="宋体"/>
          <w:color w:val="auto"/>
          <w:szCs w:val="21"/>
          <w:highlight w:val="none"/>
        </w:rPr>
        <w:t>）是否涉及进口产品：</w:t>
      </w:r>
    </w:p>
    <w:p w14:paraId="133E8CE5">
      <w:pPr>
        <w:numPr>
          <w:ilvl w:val="255"/>
          <w:numId w:val="0"/>
        </w:numPr>
        <w:adjustRightInd w:val="0"/>
        <w:snapToGrid w:val="0"/>
        <w:spacing w:line="360" w:lineRule="auto"/>
        <w:ind w:firstLine="840" w:firstLineChars="400"/>
        <w:rPr>
          <w:rFonts w:ascii="宋体" w:hAnsi="宋体" w:cs="宋体"/>
          <w:color w:val="auto"/>
          <w:szCs w:val="21"/>
          <w:highlight w:val="none"/>
          <w:u w:val="single"/>
        </w:rPr>
      </w:pPr>
      <w:r>
        <w:rPr>
          <w:rFonts w:hint="eastAsia" w:ascii="宋体" w:hAnsi="宋体" w:cs="宋体"/>
          <w:color w:val="auto"/>
          <w:szCs w:val="21"/>
          <w:highlight w:val="none"/>
        </w:rPr>
        <w:sym w:font="Wingdings" w:char="00A8"/>
      </w:r>
      <w:r>
        <w:rPr>
          <w:rFonts w:hint="eastAsia" w:ascii="宋体" w:hAnsi="宋体" w:cs="宋体"/>
          <w:color w:val="auto"/>
          <w:szCs w:val="21"/>
          <w:highlight w:val="none"/>
        </w:rPr>
        <w:t>是，《政府采购品目分类目录》底级品目名称： 金额：</w:t>
      </w:r>
    </w:p>
    <w:p w14:paraId="7A137A8E">
      <w:pPr>
        <w:numPr>
          <w:ilvl w:val="255"/>
          <w:numId w:val="0"/>
        </w:numPr>
        <w:adjustRightInd w:val="0"/>
        <w:snapToGrid w:val="0"/>
        <w:spacing w:line="360" w:lineRule="auto"/>
        <w:ind w:firstLine="840" w:firstLineChars="400"/>
        <w:rPr>
          <w:rFonts w:ascii="宋体" w:hAnsi="宋体"/>
          <w:color w:val="auto"/>
          <w:szCs w:val="21"/>
          <w:highlight w:val="none"/>
        </w:rPr>
      </w:pPr>
      <w:r>
        <w:rPr>
          <w:rFonts w:hint="eastAsia" w:ascii="宋体" w:hAnsi="宋体" w:cs="宋体"/>
          <w:color w:val="auto"/>
          <w:szCs w:val="21"/>
          <w:highlight w:val="none"/>
        </w:rPr>
        <w:t xml:space="preserve">        国别： 品牌： 规格型号：</w:t>
      </w:r>
    </w:p>
    <w:p w14:paraId="1E4CFF3F">
      <w:p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否</w:t>
      </w:r>
    </w:p>
    <w:p w14:paraId="05C8E1C0">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（1</w:t>
      </w:r>
      <w:r>
        <w:rPr>
          <w:rFonts w:ascii="宋体" w:hAnsi="宋体"/>
          <w:color w:val="auto"/>
          <w:szCs w:val="21"/>
          <w:highlight w:val="none"/>
        </w:rPr>
        <w:t>0</w:t>
      </w:r>
      <w:r>
        <w:rPr>
          <w:rFonts w:hint="eastAsia" w:ascii="宋体" w:hAnsi="宋体"/>
          <w:color w:val="auto"/>
          <w:szCs w:val="21"/>
          <w:highlight w:val="none"/>
        </w:rPr>
        <w:t>）是否涉及节能产品：</w:t>
      </w:r>
    </w:p>
    <w:p w14:paraId="3BAE8C18">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是，《节能产品政府采购品目清单》的底级品目名称：</w:t>
      </w:r>
    </w:p>
    <w:p w14:paraId="642B494B">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02891EF0">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否</w:t>
      </w:r>
    </w:p>
    <w:p w14:paraId="7CAD2C1C">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是否涉及环境标志产品：</w:t>
      </w:r>
    </w:p>
    <w:p w14:paraId="09A319A1">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是，《环境标志产品政府采购品目清单》的底级品目名称：</w:t>
      </w:r>
    </w:p>
    <w:p w14:paraId="05904834">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11C19D50">
      <w:pPr>
        <w:numPr>
          <w:ilvl w:val="255"/>
          <w:numId w:val="0"/>
        </w:numPr>
        <w:tabs>
          <w:tab w:val="left" w:pos="740"/>
        </w:tabs>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否</w:t>
      </w:r>
    </w:p>
    <w:p w14:paraId="3C39F1CB">
      <w:pPr>
        <w:pStyle w:val="17"/>
        <w:numPr>
          <w:ilvl w:val="255"/>
          <w:numId w:val="0"/>
        </w:numPr>
        <w:snapToGrid w:val="0"/>
        <w:spacing w:line="360" w:lineRule="auto"/>
        <w:rPr>
          <w:rFonts w:ascii="宋体" w:hAnsi="宋体" w:eastAsia="宋体" w:cs="Times New Roman"/>
          <w:color w:val="auto"/>
          <w:kern w:val="2"/>
          <w:sz w:val="21"/>
          <w:highlight w:val="none"/>
        </w:rPr>
      </w:pPr>
      <w:r>
        <w:rPr>
          <w:rFonts w:hint="eastAsia" w:ascii="宋体" w:hAnsi="宋体" w:eastAsia="宋体" w:cs="Times New Roman"/>
          <w:color w:val="auto"/>
          <w:kern w:val="2"/>
          <w:sz w:val="21"/>
          <w:highlight w:val="none"/>
        </w:rPr>
        <w:t xml:space="preserve">是否涉及绿色产品： </w:t>
      </w:r>
    </w:p>
    <w:p w14:paraId="4DEFBA1C">
      <w:pPr>
        <w:pStyle w:val="17"/>
        <w:spacing w:line="360" w:lineRule="auto"/>
        <w:ind w:firstLine="420" w:firstLineChars="0"/>
        <w:rPr>
          <w:rFonts w:ascii="宋体" w:hAnsi="宋体" w:eastAsia="宋体"/>
          <w:color w:val="auto"/>
          <w:highlight w:val="none"/>
          <w:u w:val="single"/>
        </w:rPr>
      </w:pP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是，绿色产品政府采购相关政策确定的底级品目名称：</w:t>
      </w:r>
    </w:p>
    <w:p w14:paraId="0A6F34C9">
      <w:pPr>
        <w:numPr>
          <w:ilvl w:val="255"/>
          <w:numId w:val="0"/>
        </w:numPr>
        <w:tabs>
          <w:tab w:val="left" w:pos="740"/>
        </w:tabs>
        <w:adjustRightInd w:val="0"/>
        <w:snapToGrid w:val="0"/>
        <w:spacing w:line="360" w:lineRule="auto"/>
        <w:rPr>
          <w:rFonts w:ascii="宋体" w:hAnsi="宋体"/>
          <w:iCs/>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强制采购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优先采购    </w:t>
      </w:r>
    </w:p>
    <w:p w14:paraId="4FFB40B8">
      <w:pPr>
        <w:pStyle w:val="17"/>
        <w:spacing w:line="360" w:lineRule="auto"/>
        <w:ind w:firstLine="420" w:firstLineChars="0"/>
        <w:rPr>
          <w:rFonts w:ascii="宋体" w:hAnsi="宋体"/>
          <w:color w:val="auto"/>
          <w:sz w:val="21"/>
          <w:highlight w:val="none"/>
        </w:rPr>
      </w:pPr>
      <w:r>
        <w:rPr>
          <w:rFonts w:hint="eastAsia" w:ascii="宋体" w:hAnsi="宋体" w:eastAsia="宋体" w:cs="Times New Roman"/>
          <w:color w:val="auto"/>
          <w:kern w:val="2"/>
          <w:sz w:val="21"/>
          <w:highlight w:val="none"/>
        </w:rPr>
        <w:sym w:font="Wingdings" w:char="00A8"/>
      </w:r>
      <w:r>
        <w:rPr>
          <w:rFonts w:hint="eastAsia" w:ascii="宋体" w:hAnsi="宋体" w:eastAsia="宋体" w:cs="Times New Roman"/>
          <w:color w:val="auto"/>
          <w:kern w:val="2"/>
          <w:sz w:val="21"/>
          <w:highlight w:val="none"/>
        </w:rPr>
        <w:t>否</w:t>
      </w:r>
    </w:p>
    <w:p w14:paraId="5C47C6BF">
      <w:pPr>
        <w:numPr>
          <w:ilvl w:val="255"/>
          <w:numId w:val="0"/>
        </w:num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（1</w:t>
      </w:r>
      <w:r>
        <w:rPr>
          <w:rFonts w:ascii="宋体" w:hAnsi="宋体"/>
          <w:color w:val="auto"/>
          <w:szCs w:val="21"/>
          <w:highlight w:val="none"/>
        </w:rPr>
        <w:t>1</w:t>
      </w:r>
      <w:r>
        <w:rPr>
          <w:rFonts w:hint="eastAsia" w:ascii="宋体" w:hAnsi="宋体"/>
          <w:color w:val="auto"/>
          <w:szCs w:val="21"/>
          <w:highlight w:val="none"/>
        </w:rPr>
        <w:t>）涉及商品包装和快递包装的，是否参考《商品包装政府采购需求标准（试行）》、《快递包装政府采购需求标准（试行）》明确产品及相关快递服务的具体包装要求：</w:t>
      </w:r>
    </w:p>
    <w:p w14:paraId="46FC7ADE">
      <w:pPr>
        <w:numPr>
          <w:ilvl w:val="255"/>
          <w:numId w:val="0"/>
        </w:numPr>
        <w:adjustRightInd w:val="0"/>
        <w:snapToGrid w:val="0"/>
        <w:spacing w:line="360" w:lineRule="auto"/>
        <w:ind w:firstLine="840" w:firstLineChars="4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 xml:space="preserve">是       </w:t>
      </w:r>
      <w:r>
        <w:rPr>
          <w:rFonts w:hint="eastAsia" w:ascii="宋体" w:hAnsi="宋体"/>
          <w:color w:val="auto"/>
          <w:szCs w:val="21"/>
          <w:highlight w:val="none"/>
        </w:rPr>
        <w:sym w:font="Wingdings" w:char="00A8"/>
      </w:r>
      <w:r>
        <w:rPr>
          <w:rFonts w:hint="eastAsia" w:ascii="宋体" w:hAnsi="宋体"/>
          <w:color w:val="auto"/>
          <w:szCs w:val="21"/>
          <w:highlight w:val="none"/>
        </w:rPr>
        <w:t xml:space="preserve">否      </w:t>
      </w:r>
      <w:r>
        <w:rPr>
          <w:rFonts w:hint="eastAsia" w:ascii="宋体" w:hAnsi="宋体"/>
          <w:color w:val="auto"/>
          <w:szCs w:val="21"/>
          <w:highlight w:val="none"/>
        </w:rPr>
        <w:sym w:font="Wingdings" w:char="00A8"/>
      </w:r>
      <w:r>
        <w:rPr>
          <w:rFonts w:hint="eastAsia" w:ascii="宋体" w:hAnsi="宋体"/>
          <w:color w:val="auto"/>
          <w:szCs w:val="21"/>
          <w:highlight w:val="none"/>
        </w:rPr>
        <w:t>不涉及</w:t>
      </w:r>
    </w:p>
    <w:p w14:paraId="19C3AAD8">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合同金额</w:t>
      </w:r>
    </w:p>
    <w:p w14:paraId="181093D6">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（1）合同金额小写：</w:t>
      </w:r>
    </w:p>
    <w:p w14:paraId="5F873EBF">
      <w:pPr>
        <w:adjustRightInd w:val="0"/>
        <w:snapToGrid w:val="0"/>
        <w:spacing w:line="360" w:lineRule="auto"/>
        <w:rPr>
          <w:rFonts w:ascii="宋体" w:hAnsi="宋体"/>
          <w:color w:val="auto"/>
          <w:szCs w:val="21"/>
          <w:highlight w:val="none"/>
          <w:u w:val="single"/>
        </w:rPr>
      </w:pPr>
      <w:r>
        <w:rPr>
          <w:rFonts w:hint="eastAsia" w:ascii="宋体" w:hAnsi="宋体"/>
          <w:color w:val="auto"/>
          <w:szCs w:val="21"/>
          <w:highlight w:val="none"/>
        </w:rPr>
        <w:t xml:space="preserve">                 大写：</w:t>
      </w:r>
    </w:p>
    <w:p w14:paraId="5ABF9B78">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分包金额（如有）小写：</w:t>
      </w:r>
    </w:p>
    <w:p w14:paraId="2139CA2F">
      <w:pPr>
        <w:adjustRightInd w:val="0"/>
        <w:snapToGrid w:val="0"/>
        <w:spacing w:line="360" w:lineRule="auto"/>
        <w:rPr>
          <w:rFonts w:ascii="宋体" w:hAnsi="宋体"/>
          <w:color w:val="auto"/>
          <w:szCs w:val="21"/>
          <w:highlight w:val="none"/>
          <w:u w:val="single"/>
        </w:rPr>
      </w:pPr>
      <w:r>
        <w:rPr>
          <w:rFonts w:hint="eastAsia" w:ascii="宋体" w:hAnsi="宋体"/>
          <w:color w:val="auto"/>
          <w:szCs w:val="21"/>
          <w:highlight w:val="none"/>
        </w:rPr>
        <w:t xml:space="preserve">                     大写：</w:t>
      </w:r>
    </w:p>
    <w:p w14:paraId="6038D7A3">
      <w:p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（注：固定单价合同应填写单价和最高限价）</w:t>
      </w:r>
    </w:p>
    <w:p w14:paraId="4D3E9CE5">
      <w:pPr>
        <w:numPr>
          <w:ilvl w:val="255"/>
          <w:numId w:val="0"/>
        </w:numPr>
        <w:adjustRightInd w:val="0"/>
        <w:snapToGrid w:val="0"/>
        <w:spacing w:line="360" w:lineRule="auto"/>
        <w:rPr>
          <w:rFonts w:ascii="宋体" w:hAnsi="宋体"/>
          <w:color w:val="auto"/>
          <w:szCs w:val="21"/>
          <w:highlight w:val="none"/>
        </w:rPr>
      </w:pPr>
      <w:r>
        <w:rPr>
          <w:rFonts w:hint="eastAsia" w:ascii="宋体" w:hAnsi="宋体"/>
          <w:color w:val="auto"/>
          <w:szCs w:val="21"/>
          <w:highlight w:val="none"/>
        </w:rPr>
        <w:t xml:space="preserve">    （2）合同定价方式（采用组合定价方式的，可以勾选多项）：</w:t>
      </w:r>
    </w:p>
    <w:p w14:paraId="00D96A89">
      <w:pPr>
        <w:adjustRightInd w:val="0"/>
        <w:snapToGrid w:val="0"/>
        <w:spacing w:line="360" w:lineRule="auto"/>
        <w:ind w:firstLine="420" w:firstLineChars="200"/>
        <w:rPr>
          <w:rFonts w:ascii="宋体" w:hAnsi="宋体"/>
          <w:color w:val="auto"/>
          <w:szCs w:val="21"/>
          <w:highlight w:val="none"/>
        </w:rPr>
      </w:pP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固定总价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固定单价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固定费率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成本补偿 </w:t>
      </w:r>
      <w:r>
        <w:rPr>
          <w:rFonts w:hint="eastAsia" w:ascii="宋体" w:hAnsi="宋体"/>
          <w:iCs/>
          <w:color w:val="auto"/>
          <w:szCs w:val="21"/>
          <w:highlight w:val="none"/>
        </w:rPr>
        <w:sym w:font="Wingdings" w:char="00A8"/>
      </w:r>
      <w:r>
        <w:rPr>
          <w:rFonts w:hint="eastAsia" w:ascii="宋体" w:hAnsi="宋体"/>
          <w:iCs/>
          <w:color w:val="auto"/>
          <w:szCs w:val="21"/>
          <w:highlight w:val="none"/>
        </w:rPr>
        <w:t xml:space="preserve">绩效激励 </w:t>
      </w:r>
      <w:r>
        <w:rPr>
          <w:rFonts w:hint="eastAsia" w:ascii="宋体" w:hAnsi="宋体"/>
          <w:iCs/>
          <w:color w:val="auto"/>
          <w:szCs w:val="21"/>
          <w:highlight w:val="none"/>
        </w:rPr>
        <w:sym w:font="Wingdings" w:char="00A8"/>
      </w:r>
      <w:r>
        <w:rPr>
          <w:rFonts w:hint="eastAsia" w:ascii="宋体" w:hAnsi="宋体"/>
          <w:iCs/>
          <w:color w:val="auto"/>
          <w:szCs w:val="21"/>
          <w:highlight w:val="none"/>
        </w:rPr>
        <w:t>其他</w:t>
      </w:r>
    </w:p>
    <w:p w14:paraId="505B7D06">
      <w:pPr>
        <w:pStyle w:val="18"/>
        <w:spacing w:line="360" w:lineRule="auto"/>
        <w:rPr>
          <w:color w:val="auto"/>
          <w:highlight w:val="none"/>
        </w:rPr>
      </w:pPr>
      <w:r>
        <w:rPr>
          <w:rFonts w:hint="eastAsia" w:ascii="宋体" w:hAnsi="宋体"/>
          <w:color w:val="auto"/>
          <w:highlight w:val="none"/>
        </w:rPr>
        <w:t>（3）付款方式（按项目实际勾选填写）：</w:t>
      </w:r>
    </w:p>
    <w:p w14:paraId="19B22424">
      <w:pPr>
        <w:adjustRightInd w:val="0"/>
        <w:snapToGrid w:val="0"/>
        <w:spacing w:line="360" w:lineRule="auto"/>
        <w:ind w:firstLine="630" w:firstLineChars="300"/>
        <w:rPr>
          <w:rFonts w:ascii="宋体" w:hAnsi="宋体"/>
          <w:color w:val="auto"/>
          <w:szCs w:val="21"/>
          <w:highlight w:val="none"/>
          <w:u w:val="single"/>
        </w:rPr>
      </w:pPr>
      <w:r>
        <w:rPr>
          <w:rFonts w:hint="eastAsia" w:ascii="宋体" w:hAnsi="宋体"/>
          <w:color w:val="auto"/>
          <w:szCs w:val="21"/>
          <w:highlight w:val="none"/>
        </w:rPr>
        <w:sym w:font="Wingdings" w:char="00A8"/>
      </w:r>
      <w:r>
        <w:rPr>
          <w:rFonts w:hint="eastAsia" w:ascii="宋体" w:hAnsi="宋体"/>
          <w:color w:val="auto"/>
          <w:szCs w:val="21"/>
          <w:highlight w:val="none"/>
        </w:rPr>
        <w:t>全额付款：</w:t>
      </w:r>
      <w:r>
        <w:rPr>
          <w:rFonts w:hint="eastAsia" w:ascii="宋体" w:hAnsi="宋体"/>
          <w:color w:val="auto"/>
          <w:szCs w:val="21"/>
          <w:highlight w:val="none"/>
          <w:u w:val="single"/>
        </w:rPr>
        <w:t xml:space="preserve">     （应明确一次性支付合同款项的条件）                    </w:t>
      </w:r>
    </w:p>
    <w:p w14:paraId="5AB3DD2C">
      <w:pPr>
        <w:snapToGrid w:val="0"/>
        <w:spacing w:line="360" w:lineRule="auto"/>
        <w:ind w:firstLine="630" w:firstLineChars="300"/>
        <w:rPr>
          <w:rFonts w:ascii="Calibri" w:hAnsi="Calibri"/>
          <w:color w:val="auto"/>
          <w:szCs w:val="20"/>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分期付款：</w:t>
      </w:r>
      <w:r>
        <w:rPr>
          <w:rFonts w:hint="eastAsia" w:ascii="宋体" w:hAnsi="宋体"/>
          <w:color w:val="auto"/>
          <w:szCs w:val="21"/>
          <w:highlight w:val="none"/>
          <w:u w:val="single"/>
        </w:rPr>
        <w:t xml:space="preserve">  （应明确分期支付合同款项的各期比例和支付条件，各期支付条件应与分期履约验收情况挂钩） </w:t>
      </w:r>
      <w:r>
        <w:rPr>
          <w:rFonts w:hint="eastAsia" w:ascii="宋体" w:hAnsi="宋体"/>
          <w:color w:val="auto"/>
          <w:szCs w:val="21"/>
          <w:highlight w:val="none"/>
        </w:rPr>
        <w:t>，其中涉及预付款的：</w:t>
      </w:r>
      <w:r>
        <w:rPr>
          <w:rFonts w:hint="eastAsia" w:ascii="宋体" w:hAnsi="宋体"/>
          <w:color w:val="auto"/>
          <w:szCs w:val="21"/>
          <w:highlight w:val="none"/>
          <w:u w:val="single"/>
        </w:rPr>
        <w:t xml:space="preserve"> （应明确预付款的支付比例和支付条件） </w:t>
      </w:r>
    </w:p>
    <w:p w14:paraId="64525968">
      <w:pPr>
        <w:adjustRightInd w:val="0"/>
        <w:snapToGrid w:val="0"/>
        <w:spacing w:line="360" w:lineRule="auto"/>
        <w:ind w:firstLine="630" w:firstLineChars="300"/>
        <w:rPr>
          <w:rFonts w:ascii="宋体" w:hAnsi="宋体"/>
          <w:color w:val="auto"/>
          <w:szCs w:val="21"/>
          <w:highlight w:val="none"/>
          <w:u w:val="single"/>
        </w:rPr>
      </w:pPr>
      <w:r>
        <w:rPr>
          <w:rFonts w:hint="eastAsia" w:ascii="宋体" w:hAnsi="宋体"/>
          <w:color w:val="auto"/>
          <w:szCs w:val="21"/>
          <w:highlight w:val="none"/>
        </w:rPr>
        <w:sym w:font="Wingdings" w:char="00A8"/>
      </w:r>
      <w:r>
        <w:rPr>
          <w:rFonts w:hint="eastAsia" w:ascii="宋体" w:hAnsi="宋体"/>
          <w:color w:val="auto"/>
          <w:szCs w:val="21"/>
          <w:highlight w:val="none"/>
        </w:rPr>
        <w:t>成本补偿：</w:t>
      </w:r>
      <w:r>
        <w:rPr>
          <w:rFonts w:hint="eastAsia" w:ascii="宋体" w:hAnsi="宋体"/>
          <w:color w:val="auto"/>
          <w:szCs w:val="21"/>
          <w:highlight w:val="none"/>
          <w:u w:val="single"/>
        </w:rPr>
        <w:t xml:space="preserve">      （应明确按照成本补偿方式的支付方式和支付条件）   </w:t>
      </w:r>
    </w:p>
    <w:p w14:paraId="06C846BA">
      <w:pPr>
        <w:adjustRightInd w:val="0"/>
        <w:snapToGrid w:val="0"/>
        <w:spacing w:line="360" w:lineRule="auto"/>
        <w:ind w:firstLine="630" w:firstLineChars="300"/>
        <w:rPr>
          <w:rFonts w:ascii="宋体" w:hAnsi="宋体"/>
          <w:color w:val="auto"/>
          <w:szCs w:val="21"/>
          <w:highlight w:val="none"/>
        </w:rPr>
      </w:pPr>
      <w:r>
        <w:rPr>
          <w:rFonts w:hint="eastAsia" w:ascii="宋体" w:hAnsi="宋体"/>
          <w:color w:val="auto"/>
          <w:szCs w:val="21"/>
          <w:highlight w:val="none"/>
        </w:rPr>
        <w:sym w:font="Wingdings" w:char="00A8"/>
      </w:r>
      <w:r>
        <w:rPr>
          <w:rFonts w:hint="eastAsia" w:ascii="宋体" w:hAnsi="宋体"/>
          <w:color w:val="auto"/>
          <w:szCs w:val="21"/>
          <w:highlight w:val="none"/>
        </w:rPr>
        <w:t>绩效激励：</w:t>
      </w:r>
      <w:r>
        <w:rPr>
          <w:rFonts w:hint="eastAsia" w:ascii="宋体" w:hAnsi="宋体"/>
          <w:color w:val="auto"/>
          <w:szCs w:val="21"/>
          <w:highlight w:val="none"/>
          <w:u w:val="single"/>
        </w:rPr>
        <w:t xml:space="preserve">      （应明确按照绩效激励方式的支付方式和支付条件）   </w:t>
      </w:r>
    </w:p>
    <w:p w14:paraId="6DECA6F1">
      <w:pPr>
        <w:numPr>
          <w:ilvl w:val="0"/>
          <w:numId w:val="2"/>
        </w:numPr>
        <w:adjustRightInd w:val="0"/>
        <w:snapToGrid w:val="0"/>
        <w:spacing w:line="360" w:lineRule="auto"/>
        <w:ind w:firstLine="422" w:firstLineChars="200"/>
        <w:rPr>
          <w:rFonts w:ascii="宋体" w:hAnsi="宋体"/>
          <w:b/>
          <w:color w:val="auto"/>
          <w:szCs w:val="21"/>
          <w:highlight w:val="none"/>
          <w:u w:val="single"/>
        </w:rPr>
      </w:pPr>
      <w:r>
        <w:rPr>
          <w:rFonts w:hint="eastAsia" w:ascii="宋体" w:hAnsi="宋体"/>
          <w:b/>
          <w:color w:val="auto"/>
          <w:szCs w:val="21"/>
          <w:highlight w:val="none"/>
        </w:rPr>
        <w:t>合同履行</w:t>
      </w:r>
    </w:p>
    <w:p w14:paraId="60F038CE">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（1）起始日期：年月日，完成日期：年月日。</w:t>
      </w:r>
    </w:p>
    <w:p w14:paraId="78DD079A">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color w:val="auto"/>
          <w:szCs w:val="21"/>
          <w:highlight w:val="none"/>
        </w:rPr>
        <w:t>（2）履约地点</w:t>
      </w:r>
      <w:r>
        <w:rPr>
          <w:rFonts w:hint="eastAsia" w:ascii="宋体" w:hAnsi="宋体" w:cs="宋体"/>
          <w:bCs/>
          <w:color w:val="auto"/>
          <w:szCs w:val="21"/>
          <w:highlight w:val="none"/>
        </w:rPr>
        <w:t>：</w:t>
      </w:r>
    </w:p>
    <w:p w14:paraId="1BA1E617">
      <w:pPr>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bCs/>
          <w:color w:val="auto"/>
          <w:szCs w:val="21"/>
          <w:highlight w:val="none"/>
        </w:rPr>
        <w:t>（3）履约担保：</w:t>
      </w:r>
      <w:r>
        <w:rPr>
          <w:rFonts w:hint="eastAsia" w:ascii="宋体" w:hAnsi="宋体" w:cs="宋体"/>
          <w:color w:val="auto"/>
          <w:szCs w:val="20"/>
          <w:highlight w:val="none"/>
        </w:rPr>
        <w:t>是否收取履约保证金：</w:t>
      </w:r>
      <w:r>
        <w:rPr>
          <w:rFonts w:hint="eastAsia" w:ascii="宋体" w:hAnsi="宋体" w:cs="宋体"/>
          <w:color w:val="auto"/>
          <w:szCs w:val="21"/>
          <w:highlight w:val="none"/>
        </w:rPr>
        <w:sym w:font="Wingdings" w:char="00A8"/>
      </w:r>
      <w:r>
        <w:rPr>
          <w:rFonts w:hint="eastAsia" w:ascii="宋体" w:hAnsi="宋体" w:cs="宋体"/>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cs="宋体"/>
          <w:color w:val="auto"/>
          <w:szCs w:val="21"/>
          <w:highlight w:val="none"/>
        </w:rPr>
        <w:t>否</w:t>
      </w:r>
    </w:p>
    <w:p w14:paraId="076AD3D3">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收取履约保证金形式：</w:t>
      </w:r>
    </w:p>
    <w:p w14:paraId="72BC825F">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 xml:space="preserve">    收取履约保证金金额：</w:t>
      </w:r>
    </w:p>
    <w:p w14:paraId="666A506A">
      <w:pPr>
        <w:snapToGrid w:val="0"/>
        <w:spacing w:line="360" w:lineRule="auto"/>
        <w:ind w:firstLine="420" w:firstLineChars="200"/>
        <w:rPr>
          <w:rFonts w:ascii="宋体" w:hAnsi="宋体" w:cs="宋体"/>
          <w:color w:val="auto"/>
          <w:szCs w:val="20"/>
          <w:highlight w:val="none"/>
        </w:rPr>
      </w:pPr>
      <w:r>
        <w:rPr>
          <w:rFonts w:hint="eastAsia" w:ascii="宋体" w:hAnsi="宋体" w:cs="宋体"/>
          <w:bCs/>
          <w:color w:val="auto"/>
          <w:szCs w:val="21"/>
          <w:highlight w:val="none"/>
        </w:rPr>
        <w:t xml:space="preserve">    履约担保期限：</w:t>
      </w:r>
    </w:p>
    <w:p w14:paraId="69FD91FA">
      <w:pPr>
        <w:adjustRightInd w:val="0"/>
        <w:snapToGrid w:val="0"/>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rPr>
        <w:t>（4）分期履行要求：</w:t>
      </w:r>
    </w:p>
    <w:p w14:paraId="23128B35">
      <w:pPr>
        <w:adjustRightInd w:val="0"/>
        <w:snapToGrid w:val="0"/>
        <w:spacing w:line="360" w:lineRule="auto"/>
        <w:ind w:firstLine="420" w:firstLineChars="200"/>
        <w:rPr>
          <w:rFonts w:ascii="宋体" w:hAnsi="宋体" w:cs="宋体"/>
          <w:color w:val="auto"/>
          <w:szCs w:val="21"/>
          <w:highlight w:val="none"/>
          <w:u w:val="single"/>
        </w:rPr>
      </w:pPr>
      <w:r>
        <w:rPr>
          <w:rFonts w:hint="eastAsia" w:ascii="宋体" w:hAnsi="宋体" w:cs="宋体"/>
          <w:bCs/>
          <w:color w:val="auto"/>
          <w:szCs w:val="21"/>
          <w:highlight w:val="none"/>
        </w:rPr>
        <w:t>（5）风险处置措施和替代方案：</w:t>
      </w:r>
    </w:p>
    <w:p w14:paraId="5DFF1CD3">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合同验收</w:t>
      </w:r>
    </w:p>
    <w:p w14:paraId="7AD1AA05">
      <w:pPr>
        <w:numPr>
          <w:ilvl w:val="0"/>
          <w:numId w:val="3"/>
        </w:numPr>
        <w:adjustRightInd w:val="0"/>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验收组织方式：</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自行组织 </w:t>
      </w:r>
      <w:r>
        <w:rPr>
          <w:rFonts w:hint="eastAsia" w:ascii="宋体" w:hAnsi="宋体" w:cs="宋体"/>
          <w:color w:val="auto"/>
          <w:szCs w:val="21"/>
          <w:highlight w:val="none"/>
        </w:rPr>
        <w:sym w:font="Wingdings" w:char="00A8"/>
      </w:r>
      <w:r>
        <w:rPr>
          <w:rFonts w:hint="eastAsia" w:ascii="宋体" w:hAnsi="宋体"/>
          <w:bCs/>
          <w:color w:val="auto"/>
          <w:szCs w:val="21"/>
          <w:highlight w:val="none"/>
        </w:rPr>
        <w:t>委托第三方组织</w:t>
      </w:r>
    </w:p>
    <w:p w14:paraId="6266DF5C">
      <w:pPr>
        <w:adjustRightInd w:val="0"/>
        <w:snapToGrid w:val="0"/>
        <w:spacing w:line="360" w:lineRule="auto"/>
        <w:rPr>
          <w:rFonts w:ascii="宋体" w:hAnsi="宋体"/>
          <w:bCs/>
          <w:color w:val="auto"/>
          <w:szCs w:val="21"/>
          <w:highlight w:val="none"/>
        </w:rPr>
      </w:pPr>
      <w:r>
        <w:rPr>
          <w:rFonts w:hint="eastAsia" w:ascii="宋体" w:hAnsi="宋体"/>
          <w:bCs/>
          <w:color w:val="auto"/>
          <w:szCs w:val="21"/>
          <w:highlight w:val="none"/>
        </w:rPr>
        <w:t xml:space="preserve">         验收主体：</w:t>
      </w:r>
    </w:p>
    <w:p w14:paraId="47D3FBE0">
      <w:pPr>
        <w:adjustRightInd w:val="0"/>
        <w:snapToGrid w:val="0"/>
        <w:spacing w:line="360" w:lineRule="auto"/>
        <w:rPr>
          <w:rFonts w:ascii="宋体" w:hAnsi="宋体"/>
          <w:bCs/>
          <w:color w:val="auto"/>
          <w:szCs w:val="21"/>
          <w:highlight w:val="none"/>
        </w:rPr>
      </w:pPr>
      <w:r>
        <w:rPr>
          <w:rFonts w:hint="eastAsia" w:ascii="宋体" w:hAnsi="宋体"/>
          <w:bCs/>
          <w:color w:val="auto"/>
          <w:szCs w:val="21"/>
          <w:highlight w:val="none"/>
        </w:rPr>
        <w:t xml:space="preserve">        是否邀请本项目的其他供应商参加验收：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760E5131">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是否邀请专家参加验收：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2663CEF3">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是否邀请服务对象参加验收：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49D1855D">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是否邀请第三方检测机构参加验收：</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是  </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33B0C70A">
      <w:pPr>
        <w:adjustRightInd w:val="0"/>
        <w:snapToGrid w:val="0"/>
        <w:spacing w:line="360" w:lineRule="auto"/>
        <w:ind w:firstLine="840" w:firstLineChars="400"/>
        <w:rPr>
          <w:rFonts w:ascii="宋体" w:hAnsi="宋体"/>
          <w:bCs/>
          <w:color w:val="auto"/>
          <w:szCs w:val="21"/>
          <w:highlight w:val="none"/>
        </w:rPr>
      </w:pPr>
      <w:r>
        <w:rPr>
          <w:rFonts w:hint="eastAsia" w:ascii="宋体" w:hAnsi="宋体"/>
          <w:bCs/>
          <w:color w:val="auto"/>
          <w:szCs w:val="21"/>
          <w:highlight w:val="none"/>
        </w:rPr>
        <w:t>是否进行抽查检测：</w:t>
      </w:r>
      <w:r>
        <w:rPr>
          <w:rFonts w:hint="eastAsia" w:ascii="宋体" w:hAnsi="宋体" w:cs="宋体"/>
          <w:color w:val="auto"/>
          <w:szCs w:val="21"/>
          <w:highlight w:val="none"/>
        </w:rPr>
        <w:sym w:font="Wingdings" w:char="00A8"/>
      </w:r>
      <w:r>
        <w:rPr>
          <w:rFonts w:hint="eastAsia" w:ascii="宋体" w:hAnsi="宋体"/>
          <w:bCs/>
          <w:color w:val="auto"/>
          <w:szCs w:val="21"/>
          <w:highlight w:val="none"/>
        </w:rPr>
        <w:t>是，抽查比例：</w:t>
      </w: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1A97E1F6">
      <w:pPr>
        <w:adjustRightInd w:val="0"/>
        <w:snapToGrid w:val="0"/>
        <w:spacing w:line="360" w:lineRule="auto"/>
        <w:ind w:firstLine="840" w:firstLineChars="400"/>
        <w:rPr>
          <w:rFonts w:ascii="宋体" w:hAnsi="宋体"/>
          <w:bCs/>
          <w:color w:val="auto"/>
          <w:szCs w:val="21"/>
          <w:highlight w:val="none"/>
          <w:u w:val="single"/>
        </w:rPr>
      </w:pPr>
      <w:r>
        <w:rPr>
          <w:rFonts w:hint="eastAsia" w:ascii="宋体" w:hAnsi="宋体"/>
          <w:bCs/>
          <w:color w:val="auto"/>
          <w:szCs w:val="21"/>
          <w:highlight w:val="none"/>
        </w:rPr>
        <w:t>是否存在破坏性检测：</w:t>
      </w:r>
      <w:r>
        <w:rPr>
          <w:rFonts w:hint="eastAsia" w:ascii="宋体" w:hAnsi="宋体" w:cs="宋体"/>
          <w:color w:val="auto"/>
          <w:szCs w:val="21"/>
          <w:highlight w:val="none"/>
        </w:rPr>
        <w:sym w:font="Wingdings" w:char="00A8"/>
      </w:r>
      <w:r>
        <w:rPr>
          <w:rFonts w:hint="eastAsia" w:ascii="宋体" w:hAnsi="宋体"/>
          <w:bCs/>
          <w:color w:val="auto"/>
          <w:szCs w:val="21"/>
          <w:highlight w:val="none"/>
        </w:rPr>
        <w:t>是，</w:t>
      </w:r>
      <w:r>
        <w:rPr>
          <w:rFonts w:hint="eastAsia" w:ascii="宋体" w:hAnsi="宋体"/>
          <w:bCs/>
          <w:color w:val="auto"/>
          <w:szCs w:val="21"/>
          <w:highlight w:val="none"/>
          <w:u w:val="single"/>
        </w:rPr>
        <w:t>（应明确对被破坏的检测产品的处理方式）</w:t>
      </w:r>
    </w:p>
    <w:p w14:paraId="28F9E3F9">
      <w:pPr>
        <w:adjustRightInd w:val="0"/>
        <w:snapToGrid w:val="0"/>
        <w:spacing w:line="360" w:lineRule="auto"/>
        <w:ind w:firstLine="840" w:firstLineChars="400"/>
        <w:rPr>
          <w:rFonts w:ascii="宋体" w:hAnsi="宋体"/>
          <w:bCs/>
          <w:color w:val="auto"/>
          <w:szCs w:val="21"/>
          <w:highlight w:val="none"/>
        </w:rPr>
      </w:pPr>
      <w:r>
        <w:rPr>
          <w:rFonts w:hint="eastAsia" w:ascii="宋体" w:hAnsi="宋体" w:cs="宋体"/>
          <w:color w:val="auto"/>
          <w:szCs w:val="21"/>
          <w:highlight w:val="none"/>
        </w:rPr>
        <w:sym w:font="Wingdings" w:char="00A8"/>
      </w:r>
      <w:r>
        <w:rPr>
          <w:rFonts w:hint="eastAsia" w:ascii="宋体" w:hAnsi="宋体"/>
          <w:bCs/>
          <w:color w:val="auto"/>
          <w:szCs w:val="21"/>
          <w:highlight w:val="none"/>
        </w:rPr>
        <w:t>否</w:t>
      </w:r>
    </w:p>
    <w:p w14:paraId="215FD1B6">
      <w:pPr>
        <w:adjustRightInd w:val="0"/>
        <w:snapToGrid w:val="0"/>
        <w:spacing w:line="360" w:lineRule="auto"/>
        <w:ind w:firstLine="840" w:firstLineChars="400"/>
        <w:rPr>
          <w:rFonts w:ascii="宋体" w:hAnsi="宋体"/>
          <w:bCs/>
          <w:color w:val="auto"/>
          <w:szCs w:val="21"/>
          <w:highlight w:val="none"/>
          <w:u w:val="single"/>
        </w:rPr>
      </w:pPr>
      <w:r>
        <w:rPr>
          <w:rFonts w:hint="eastAsia" w:ascii="宋体" w:hAnsi="宋体"/>
          <w:bCs/>
          <w:color w:val="auto"/>
          <w:szCs w:val="21"/>
          <w:highlight w:val="none"/>
        </w:rPr>
        <w:t>验收组织的其他事项：</w:t>
      </w:r>
    </w:p>
    <w:p w14:paraId="0B856E5B">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highlight w:val="none"/>
        </w:rPr>
        <w:t>（2）履约验收时间：</w:t>
      </w:r>
      <w:r>
        <w:rPr>
          <w:rFonts w:hint="eastAsia" w:ascii="宋体" w:hAnsi="宋体"/>
          <w:bCs/>
          <w:color w:val="auto"/>
          <w:szCs w:val="21"/>
          <w:highlight w:val="none"/>
          <w:u w:val="single"/>
        </w:rPr>
        <w:t xml:space="preserve">（计划于何时验收/供应商提出验收申请之日起   日内组织验收） </w:t>
      </w:r>
    </w:p>
    <w:p w14:paraId="371EF52E">
      <w:pPr>
        <w:adjustRightInd w:val="0"/>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（3）履约验收方式：</w:t>
      </w:r>
      <w:r>
        <w:rPr>
          <w:rFonts w:hint="eastAsia" w:ascii="宋体" w:hAnsi="宋体" w:cs="宋体"/>
          <w:color w:val="auto"/>
          <w:szCs w:val="21"/>
          <w:highlight w:val="none"/>
        </w:rPr>
        <w:sym w:font="Wingdings" w:char="00A8"/>
      </w:r>
      <w:r>
        <w:rPr>
          <w:rFonts w:hint="eastAsia" w:ascii="宋体" w:hAnsi="宋体"/>
          <w:bCs/>
          <w:color w:val="auto"/>
          <w:szCs w:val="21"/>
          <w:highlight w:val="none"/>
        </w:rPr>
        <w:t xml:space="preserve">一次性验收         </w:t>
      </w:r>
    </w:p>
    <w:p w14:paraId="432A2880">
      <w:pPr>
        <w:adjustRightInd w:val="0"/>
        <w:snapToGrid w:val="0"/>
        <w:spacing w:line="360" w:lineRule="auto"/>
        <w:rPr>
          <w:rFonts w:ascii="宋体" w:hAnsi="宋体"/>
          <w:bCs/>
          <w:color w:val="auto"/>
          <w:szCs w:val="21"/>
          <w:highlight w:val="none"/>
        </w:rPr>
      </w:pPr>
      <w:r>
        <w:rPr>
          <w:rFonts w:hint="eastAsia" w:ascii="宋体" w:hAnsi="宋体" w:cs="宋体"/>
          <w:color w:val="auto"/>
          <w:szCs w:val="21"/>
          <w:highlight w:val="none"/>
        </w:rPr>
        <w:sym w:font="Wingdings" w:char="00A8"/>
      </w:r>
      <w:r>
        <w:rPr>
          <w:rFonts w:hint="eastAsia" w:ascii="宋体" w:hAnsi="宋体"/>
          <w:bCs/>
          <w:color w:val="auto"/>
          <w:szCs w:val="21"/>
          <w:highlight w:val="none"/>
        </w:rPr>
        <w:t>分期/分项验收：</w:t>
      </w:r>
      <w:r>
        <w:rPr>
          <w:rFonts w:hint="eastAsia" w:ascii="宋体" w:hAnsi="宋体"/>
          <w:bCs/>
          <w:color w:val="auto"/>
          <w:szCs w:val="21"/>
          <w:highlight w:val="none"/>
          <w:u w:val="single"/>
        </w:rPr>
        <w:t xml:space="preserve"> （应明确分期</w:t>
      </w:r>
      <w:r>
        <w:rPr>
          <w:rFonts w:ascii="宋体" w:hAnsi="宋体"/>
          <w:bCs/>
          <w:color w:val="auto"/>
          <w:szCs w:val="21"/>
          <w:highlight w:val="none"/>
          <w:u w:val="single"/>
        </w:rPr>
        <w:t>/</w:t>
      </w:r>
      <w:r>
        <w:rPr>
          <w:rFonts w:hint="eastAsia" w:ascii="宋体" w:hAnsi="宋体"/>
          <w:bCs/>
          <w:color w:val="auto"/>
          <w:szCs w:val="21"/>
          <w:highlight w:val="none"/>
          <w:u w:val="single"/>
        </w:rPr>
        <w:t xml:space="preserve">分项验收的工作安排）  </w:t>
      </w:r>
    </w:p>
    <w:p w14:paraId="53965A0D">
      <w:pPr>
        <w:adjustRightInd w:val="0"/>
        <w:snapToGrid w:val="0"/>
        <w:spacing w:line="360" w:lineRule="auto"/>
        <w:ind w:firstLine="420" w:firstLineChars="200"/>
        <w:rPr>
          <w:rFonts w:ascii="宋体" w:hAnsi="宋体"/>
          <w:bCs/>
          <w:color w:val="auto"/>
          <w:szCs w:val="21"/>
          <w:highlight w:val="none"/>
        </w:rPr>
      </w:pPr>
      <w:r>
        <w:rPr>
          <w:rFonts w:hint="eastAsia" w:ascii="宋体" w:hAnsi="宋体"/>
          <w:bCs/>
          <w:color w:val="auto"/>
          <w:szCs w:val="21"/>
          <w:highlight w:val="none"/>
        </w:rPr>
        <w:t>（4）履约验收程序：</w:t>
      </w:r>
    </w:p>
    <w:p w14:paraId="16F83537">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highlight w:val="none"/>
        </w:rPr>
        <w:t>（5）履约验收的内容：</w:t>
      </w:r>
      <w:r>
        <w:rPr>
          <w:rFonts w:hint="eastAsia" w:ascii="宋体" w:hAnsi="宋体"/>
          <w:bCs/>
          <w:color w:val="auto"/>
          <w:szCs w:val="21"/>
          <w:highlight w:val="none"/>
          <w:u w:val="single"/>
        </w:rPr>
        <w:t xml:space="preserve"> （应当包括每一项技术和商务要求的履约情况，特别是落实政府采购扶持中小企业，支持绿色发展和乡村振兴等政策情况）                                      </w:t>
      </w:r>
    </w:p>
    <w:p w14:paraId="0E196F5E">
      <w:pPr>
        <w:adjustRightInd w:val="0"/>
        <w:snapToGrid w:val="0"/>
        <w:spacing w:line="360" w:lineRule="auto"/>
        <w:ind w:firstLine="420" w:firstLineChars="200"/>
        <w:rPr>
          <w:rFonts w:ascii="宋体" w:hAnsi="宋体"/>
          <w:bCs/>
          <w:color w:val="auto"/>
          <w:szCs w:val="21"/>
          <w:highlight w:val="none"/>
          <w:u w:val="single"/>
        </w:rPr>
      </w:pPr>
      <w:r>
        <w:rPr>
          <w:rFonts w:hint="eastAsia" w:ascii="宋体" w:hAnsi="宋体"/>
          <w:bCs/>
          <w:color w:val="auto"/>
          <w:szCs w:val="21"/>
          <w:highlight w:val="none"/>
        </w:rPr>
        <w:t>（6）履约验收标准：</w:t>
      </w:r>
    </w:p>
    <w:p w14:paraId="62254E52">
      <w:pPr>
        <w:pStyle w:val="17"/>
        <w:spacing w:line="360" w:lineRule="auto"/>
        <w:ind w:firstLine="420"/>
        <w:rPr>
          <w:rFonts w:ascii="宋体" w:hAnsi="宋体" w:eastAsia="宋体" w:cs="宋体"/>
          <w:color w:val="auto"/>
          <w:sz w:val="21"/>
          <w:highlight w:val="none"/>
        </w:rPr>
      </w:pPr>
      <w:r>
        <w:rPr>
          <w:rFonts w:hint="eastAsia" w:ascii="宋体" w:hAnsi="宋体" w:eastAsia="宋体" w:cs="宋体"/>
          <w:bCs/>
          <w:color w:val="auto"/>
          <w:sz w:val="21"/>
          <w:highlight w:val="none"/>
        </w:rPr>
        <w:t>（7）是否以采购活动中供应商提供的样品作为参考：</w:t>
      </w:r>
      <w:r>
        <w:rPr>
          <w:rFonts w:hint="eastAsia" w:ascii="宋体" w:hAnsi="宋体" w:eastAsia="宋体" w:cs="宋体"/>
          <w:color w:val="auto"/>
          <w:sz w:val="21"/>
          <w:highlight w:val="none"/>
        </w:rPr>
        <w:sym w:font="Wingdings" w:char="00A8"/>
      </w:r>
      <w:r>
        <w:rPr>
          <w:rFonts w:hint="eastAsia" w:ascii="宋体" w:hAnsi="宋体" w:eastAsia="宋体" w:cs="宋体"/>
          <w:bCs/>
          <w:color w:val="auto"/>
          <w:sz w:val="21"/>
          <w:highlight w:val="none"/>
        </w:rPr>
        <w:t xml:space="preserve">是  </w:t>
      </w:r>
      <w:r>
        <w:rPr>
          <w:rFonts w:hint="eastAsia" w:ascii="宋体" w:hAnsi="宋体" w:eastAsia="宋体" w:cs="宋体"/>
          <w:color w:val="auto"/>
          <w:sz w:val="21"/>
          <w:highlight w:val="none"/>
        </w:rPr>
        <w:sym w:font="Wingdings" w:char="00A8"/>
      </w:r>
      <w:r>
        <w:rPr>
          <w:rFonts w:hint="eastAsia" w:ascii="宋体" w:hAnsi="宋体" w:eastAsia="宋体" w:cs="宋体"/>
          <w:bCs/>
          <w:color w:val="auto"/>
          <w:sz w:val="21"/>
          <w:highlight w:val="none"/>
        </w:rPr>
        <w:t>否</w:t>
      </w:r>
    </w:p>
    <w:p w14:paraId="2154314D">
      <w:pPr>
        <w:adjustRightInd w:val="0"/>
        <w:snapToGrid w:val="0"/>
        <w:spacing w:line="360" w:lineRule="auto"/>
        <w:ind w:firstLine="420" w:firstLineChars="200"/>
        <w:rPr>
          <w:rFonts w:ascii="宋体" w:hAnsi="宋体" w:cs="宋体"/>
          <w:bCs/>
          <w:color w:val="auto"/>
          <w:szCs w:val="21"/>
          <w:highlight w:val="none"/>
          <w:u w:val="single"/>
        </w:rPr>
      </w:pPr>
      <w:r>
        <w:rPr>
          <w:rFonts w:hint="eastAsia" w:ascii="宋体" w:hAnsi="宋体" w:cs="宋体"/>
          <w:bCs/>
          <w:color w:val="auto"/>
          <w:szCs w:val="21"/>
          <w:highlight w:val="none"/>
        </w:rPr>
        <w:t>（8）履约验收其他事项：</w:t>
      </w:r>
      <w:r>
        <w:rPr>
          <w:rFonts w:hint="eastAsia" w:ascii="宋体" w:hAnsi="宋体" w:cs="宋体"/>
          <w:bCs/>
          <w:color w:val="auto"/>
          <w:szCs w:val="21"/>
          <w:highlight w:val="none"/>
          <w:u w:val="single"/>
        </w:rPr>
        <w:t xml:space="preserve">      （产权过户登记等）          </w:t>
      </w:r>
    </w:p>
    <w:p w14:paraId="053E3622">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组成合同的文件</w:t>
      </w:r>
    </w:p>
    <w:p w14:paraId="79E04F4B">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本协议书与下列文件一起构成合同文件，如下述文件之间有任何抵触、矛盾或歧义，应按以下顺序解释：</w:t>
      </w:r>
    </w:p>
    <w:p w14:paraId="6B06E4FD">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（1）政府采购合同协议书及其变更、补充协议</w:t>
      </w:r>
    </w:p>
    <w:p w14:paraId="7E49983D">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（2）政府采购合同专用条款</w:t>
      </w:r>
    </w:p>
    <w:p w14:paraId="274D87AA">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（3）政府采购合同通用条款</w:t>
      </w:r>
    </w:p>
    <w:p w14:paraId="07F6DF70">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（4）中标（成交）通知书</w:t>
      </w:r>
    </w:p>
    <w:p w14:paraId="2EC6BD2A">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（5）投标（响应）文件</w:t>
      </w:r>
    </w:p>
    <w:p w14:paraId="510641E4">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（6）采购文件</w:t>
      </w:r>
    </w:p>
    <w:p w14:paraId="5E952F6B">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（7）有关技术文件，图纸</w:t>
      </w:r>
    </w:p>
    <w:p w14:paraId="4CA60E23">
      <w:pPr>
        <w:pStyle w:val="17"/>
        <w:spacing w:line="360" w:lineRule="auto"/>
        <w:ind w:firstLine="420"/>
        <w:rPr>
          <w:rFonts w:ascii="宋体" w:hAnsi="宋体" w:eastAsia="宋体" w:cs="宋体"/>
          <w:color w:val="auto"/>
          <w:kern w:val="2"/>
          <w:sz w:val="21"/>
          <w:highlight w:val="none"/>
        </w:rPr>
      </w:pPr>
      <w:r>
        <w:rPr>
          <w:rFonts w:hint="eastAsia" w:ascii="宋体" w:hAnsi="宋体" w:eastAsia="宋体" w:cs="宋体"/>
          <w:color w:val="auto"/>
          <w:sz w:val="21"/>
          <w:highlight w:val="none"/>
        </w:rPr>
        <w:t>（8）</w:t>
      </w:r>
      <w:r>
        <w:rPr>
          <w:rFonts w:hint="eastAsia" w:ascii="宋体" w:hAnsi="宋体" w:eastAsia="宋体" w:cs="宋体"/>
          <w:color w:val="auto"/>
          <w:kern w:val="2"/>
          <w:sz w:val="21"/>
          <w:highlight w:val="none"/>
        </w:rPr>
        <w:t>国家法律、行政法规和规章制度规定或合同约定的作为合同组成部分的其他文件</w:t>
      </w:r>
    </w:p>
    <w:p w14:paraId="21778BA2">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合同生效</w:t>
      </w:r>
    </w:p>
    <w:p w14:paraId="45AC3C1C">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本合同自生效。</w:t>
      </w:r>
    </w:p>
    <w:p w14:paraId="6F892ECC">
      <w:pPr>
        <w:numPr>
          <w:ilvl w:val="0"/>
          <w:numId w:val="2"/>
        </w:numPr>
        <w:adjustRightInd w:val="0"/>
        <w:snapToGrid w:val="0"/>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合同份数</w:t>
      </w:r>
    </w:p>
    <w:p w14:paraId="1F7021FA">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本合同一式份，甲方执份，乙方执份，均具有同等法律效力。</w:t>
      </w:r>
    </w:p>
    <w:p w14:paraId="1FF7040D">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合同订立时间：年月日</w:t>
      </w:r>
    </w:p>
    <w:p w14:paraId="0F61EEF8">
      <w:pPr>
        <w:adjustRightInd w:val="0"/>
        <w:snapToGrid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合同订立地点：</w:t>
      </w:r>
    </w:p>
    <w:p w14:paraId="56ABE8D8">
      <w:pPr>
        <w:adjustRightInd w:val="0"/>
        <w:snapToGrid w:val="0"/>
        <w:spacing w:line="360" w:lineRule="auto"/>
        <w:ind w:firstLine="420" w:firstLineChars="200"/>
        <w:rPr>
          <w:rFonts w:ascii="Calibri" w:hAnsi="Calibri"/>
          <w:color w:val="auto"/>
          <w:szCs w:val="20"/>
          <w:highlight w:val="none"/>
        </w:rPr>
      </w:pPr>
      <w:r>
        <w:rPr>
          <w:rFonts w:hint="eastAsia" w:ascii="宋体" w:hAnsi="宋体"/>
          <w:color w:val="auto"/>
          <w:szCs w:val="21"/>
          <w:highlight w:val="none"/>
        </w:rPr>
        <w:t>附件：具体标的及其技术要求和商务要求、联合协议、分包意向协议等。</w:t>
      </w:r>
    </w:p>
    <w:p w14:paraId="6CFD3CFC">
      <w:pPr>
        <w:pStyle w:val="18"/>
        <w:spacing w:line="360" w:lineRule="auto"/>
        <w:rPr>
          <w:color w:val="auto"/>
          <w:highlight w:val="none"/>
        </w:rPr>
      </w:pPr>
    </w:p>
    <w:p w14:paraId="4D68785C">
      <w:pPr>
        <w:pStyle w:val="2"/>
        <w:spacing w:before="0" w:after="0" w:line="360" w:lineRule="auto"/>
        <w:rPr>
          <w:rFonts w:ascii="宋体" w:hAnsi="宋体"/>
          <w:b w:val="0"/>
          <w:bCs w:val="0"/>
          <w:color w:val="auto"/>
          <w:sz w:val="21"/>
          <w:szCs w:val="21"/>
          <w:highlight w:val="none"/>
        </w:rPr>
      </w:pPr>
    </w:p>
    <w:p w14:paraId="298C4EC6">
      <w:pPr>
        <w:spacing w:line="360" w:lineRule="auto"/>
        <w:rPr>
          <w:rFonts w:ascii="Calibri" w:hAnsi="Calibri"/>
          <w:color w:val="auto"/>
          <w:szCs w:val="20"/>
          <w:highlight w:val="none"/>
        </w:rPr>
      </w:pPr>
      <w:r>
        <w:rPr>
          <w:rFonts w:hint="eastAsia" w:ascii="Calibri" w:hAnsi="Calibri"/>
          <w:color w:val="auto"/>
          <w:szCs w:val="20"/>
          <w:highlight w:val="none"/>
        </w:rPr>
        <w:br w:type="page"/>
      </w:r>
    </w:p>
    <w:p w14:paraId="31177F50">
      <w:pPr>
        <w:pStyle w:val="18"/>
        <w:spacing w:line="360" w:lineRule="auto"/>
        <w:rPr>
          <w:color w:val="auto"/>
          <w:highlight w:val="none"/>
        </w:rPr>
      </w:pPr>
    </w:p>
    <w:tbl>
      <w:tblPr>
        <w:tblStyle w:val="1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07B65C7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40A32939">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0"/>
                <w:highlight w:val="none"/>
              </w:rPr>
            </w:pPr>
            <w:r>
              <w:rPr>
                <w:rFonts w:hint="default" w:ascii="Calibri" w:hAnsi="Calibri"/>
                <w:color w:val="auto"/>
                <w:szCs w:val="21"/>
                <w:highlight w:val="none"/>
              </w:rPr>
              <w:t>甲方</w:t>
            </w:r>
            <w:r>
              <w:rPr>
                <w:rFonts w:hint="eastAsia" w:ascii="Calibri" w:hAnsi="Calibri"/>
                <w:color w:val="auto"/>
                <w:szCs w:val="21"/>
                <w:highlight w:val="none"/>
              </w:rPr>
              <w:t>（采购人</w:t>
            </w:r>
            <w:r>
              <w:rPr>
                <w:rFonts w:hint="eastAsia" w:ascii="宋体" w:hAnsi="宋体"/>
                <w:color w:val="auto"/>
                <w:szCs w:val="21"/>
                <w:highlight w:val="none"/>
              </w:rPr>
              <w:t>、受采购人委托签订合同的单位或</w:t>
            </w:r>
            <w:r>
              <w:rPr>
                <w:rFonts w:hint="eastAsia" w:ascii="Calibri" w:hAnsi="Calibri"/>
                <w:color w:val="auto"/>
                <w:szCs w:val="21"/>
                <w:highlight w:val="none"/>
              </w:rPr>
              <w:t>采购文件约定的合同甲方）</w:t>
            </w:r>
          </w:p>
        </w:tc>
        <w:tc>
          <w:tcPr>
            <w:tcW w:w="2437" w:type="pct"/>
            <w:gridSpan w:val="2"/>
            <w:tcBorders>
              <w:left w:val="single" w:color="auto" w:sz="2" w:space="0"/>
              <w:bottom w:val="single" w:color="auto" w:sz="2" w:space="0"/>
            </w:tcBorders>
            <w:vAlign w:val="center"/>
          </w:tcPr>
          <w:p w14:paraId="1D096422">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0"/>
                <w:highlight w:val="none"/>
              </w:rPr>
            </w:pPr>
            <w:r>
              <w:rPr>
                <w:rFonts w:hint="default" w:ascii="Calibri" w:hAnsi="Calibri"/>
                <w:color w:val="auto"/>
                <w:szCs w:val="21"/>
                <w:highlight w:val="none"/>
              </w:rPr>
              <w:t>乙方</w:t>
            </w:r>
            <w:r>
              <w:rPr>
                <w:rFonts w:hint="eastAsia" w:ascii="Calibri" w:hAnsi="Calibri"/>
                <w:color w:val="auto"/>
                <w:szCs w:val="21"/>
                <w:highlight w:val="none"/>
              </w:rPr>
              <w:t>（供应商）</w:t>
            </w:r>
          </w:p>
        </w:tc>
      </w:tr>
      <w:tr w14:paraId="327C1D5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1324842">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单位名称</w:t>
            </w:r>
            <w:r>
              <w:rPr>
                <w:rFonts w:hint="eastAsia" w:ascii="Calibri" w:hAnsi="Calibri"/>
                <w:color w:val="auto"/>
                <w:szCs w:val="21"/>
                <w:highlight w:val="none"/>
              </w:rPr>
              <w:t>（公章或合同章）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3F27D6CB">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6CD3C5C0">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单位名称</w:t>
            </w:r>
            <w:r>
              <w:rPr>
                <w:rFonts w:hint="eastAsia" w:ascii="Calibri" w:hAnsi="Calibri"/>
                <w:color w:val="auto"/>
                <w:szCs w:val="21"/>
                <w:highlight w:val="none"/>
              </w:rPr>
              <w:t>（公章或合同章）</w:t>
            </w:r>
          </w:p>
        </w:tc>
        <w:tc>
          <w:tcPr>
            <w:tcW w:w="1259" w:type="pct"/>
            <w:tcBorders>
              <w:top w:val="single" w:color="auto" w:sz="2" w:space="0"/>
              <w:left w:val="single" w:color="auto" w:sz="2" w:space="0"/>
              <w:bottom w:val="single" w:color="auto" w:sz="2" w:space="0"/>
            </w:tcBorders>
            <w:vAlign w:val="center"/>
          </w:tcPr>
          <w:p w14:paraId="6F2D3AE3">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2EF2E5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5A571B88">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法定代表人</w:t>
            </w:r>
          </w:p>
          <w:p w14:paraId="37E50CF9">
            <w:pPr>
              <w:keepNext w:val="0"/>
              <w:keepLines w:val="0"/>
              <w:suppressLineNumbers w:val="0"/>
              <w:adjustRightInd w:val="0"/>
              <w:snapToGrid w:val="0"/>
              <w:spacing w:before="0" w:beforeAutospacing="0" w:after="0" w:afterAutospacing="0" w:line="360" w:lineRule="auto"/>
              <w:ind w:left="0" w:right="0" w:firstLine="100" w:firstLineChars="48"/>
              <w:jc w:val="center"/>
              <w:rPr>
                <w:rFonts w:hint="default" w:ascii="Calibri" w:hAnsi="Calibri"/>
                <w:color w:val="auto"/>
                <w:szCs w:val="21"/>
                <w:highlight w:val="none"/>
              </w:rPr>
            </w:pPr>
            <w:r>
              <w:rPr>
                <w:rFonts w:hint="eastAsia" w:ascii="Calibri" w:hAnsi="Calibri"/>
                <w:color w:val="auto"/>
                <w:szCs w:val="21"/>
                <w:highlight w:val="none"/>
              </w:rPr>
              <w:t>或其</w:t>
            </w:r>
            <w:r>
              <w:rPr>
                <w:rFonts w:hint="default" w:ascii="Calibri" w:hAnsi="Calibri"/>
                <w:color w:val="auto"/>
                <w:szCs w:val="21"/>
                <w:highlight w:val="none"/>
              </w:rPr>
              <w:t>委托代理人</w:t>
            </w:r>
            <w:r>
              <w:rPr>
                <w:rFonts w:hint="eastAsia" w:ascii="Calibri" w:hAnsi="Calibri"/>
                <w:color w:val="auto"/>
                <w:szCs w:val="21"/>
                <w:highlight w:val="none"/>
              </w:rPr>
              <w:t>（签章）</w:t>
            </w:r>
          </w:p>
        </w:tc>
        <w:tc>
          <w:tcPr>
            <w:tcW w:w="1436" w:type="pct"/>
            <w:vMerge w:val="restart"/>
            <w:tcBorders>
              <w:top w:val="single" w:color="auto" w:sz="2" w:space="0"/>
              <w:left w:val="single" w:color="auto" w:sz="2" w:space="0"/>
              <w:right w:val="single" w:color="auto" w:sz="2" w:space="0"/>
            </w:tcBorders>
            <w:vAlign w:val="center"/>
          </w:tcPr>
          <w:p w14:paraId="7BFF0300">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right w:val="single" w:color="auto" w:sz="2" w:space="0"/>
            </w:tcBorders>
            <w:vAlign w:val="center"/>
          </w:tcPr>
          <w:p w14:paraId="26671E9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法定代表人</w:t>
            </w:r>
          </w:p>
          <w:p w14:paraId="22ED2BB3">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或其</w:t>
            </w:r>
            <w:r>
              <w:rPr>
                <w:rFonts w:hint="default" w:ascii="Calibri" w:hAnsi="Calibri"/>
                <w:color w:val="auto"/>
                <w:szCs w:val="21"/>
                <w:highlight w:val="none"/>
              </w:rPr>
              <w:t>委托代理人</w:t>
            </w:r>
            <w:r>
              <w:rPr>
                <w:rFonts w:hint="eastAsia" w:ascii="Calibri" w:hAnsi="Calibri"/>
                <w:color w:val="auto"/>
                <w:szCs w:val="21"/>
                <w:highlight w:val="none"/>
              </w:rPr>
              <w:t>（签章）</w:t>
            </w:r>
          </w:p>
        </w:tc>
        <w:tc>
          <w:tcPr>
            <w:tcW w:w="1259" w:type="pct"/>
            <w:tcBorders>
              <w:top w:val="single" w:color="auto" w:sz="2" w:space="0"/>
              <w:left w:val="single" w:color="auto" w:sz="2" w:space="0"/>
              <w:bottom w:val="single" w:color="auto" w:sz="2" w:space="0"/>
            </w:tcBorders>
            <w:vAlign w:val="center"/>
          </w:tcPr>
          <w:p w14:paraId="64D5AA6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r>
      <w:tr w14:paraId="58F09D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46F612B8">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436" w:type="pct"/>
            <w:vMerge w:val="continue"/>
            <w:tcBorders>
              <w:left w:val="single" w:color="auto" w:sz="2" w:space="0"/>
              <w:bottom w:val="single" w:color="auto" w:sz="2" w:space="0"/>
              <w:right w:val="single" w:color="auto" w:sz="2" w:space="0"/>
            </w:tcBorders>
            <w:vAlign w:val="center"/>
          </w:tcPr>
          <w:p w14:paraId="2138DE0A">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6187C480">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拥有者性别</w:t>
            </w:r>
          </w:p>
        </w:tc>
        <w:tc>
          <w:tcPr>
            <w:tcW w:w="1259" w:type="pct"/>
            <w:tcBorders>
              <w:top w:val="single" w:color="auto" w:sz="2" w:space="0"/>
              <w:left w:val="single" w:color="auto" w:sz="2" w:space="0"/>
              <w:bottom w:val="single" w:color="auto" w:sz="2" w:space="0"/>
            </w:tcBorders>
            <w:vAlign w:val="center"/>
          </w:tcPr>
          <w:p w14:paraId="01AB05C1">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06B735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BE243DC">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住所</w:t>
            </w:r>
          </w:p>
        </w:tc>
        <w:tc>
          <w:tcPr>
            <w:tcW w:w="1436" w:type="pct"/>
            <w:tcBorders>
              <w:top w:val="single" w:color="auto" w:sz="2" w:space="0"/>
              <w:left w:val="single" w:color="auto" w:sz="2" w:space="0"/>
              <w:bottom w:val="single" w:color="auto" w:sz="2" w:space="0"/>
              <w:right w:val="single" w:color="auto" w:sz="2" w:space="0"/>
            </w:tcBorders>
            <w:vAlign w:val="center"/>
          </w:tcPr>
          <w:p w14:paraId="379C0DA5">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CA795D7">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住所</w:t>
            </w:r>
          </w:p>
        </w:tc>
        <w:tc>
          <w:tcPr>
            <w:tcW w:w="1259" w:type="pct"/>
            <w:tcBorders>
              <w:top w:val="single" w:color="auto" w:sz="2" w:space="0"/>
              <w:left w:val="single" w:color="auto" w:sz="2" w:space="0"/>
              <w:bottom w:val="single" w:color="auto" w:sz="2" w:space="0"/>
            </w:tcBorders>
            <w:vAlign w:val="center"/>
          </w:tcPr>
          <w:p w14:paraId="20A6F3C6">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42AC08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20EA9CA">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联系人</w:t>
            </w:r>
          </w:p>
        </w:tc>
        <w:tc>
          <w:tcPr>
            <w:tcW w:w="1436" w:type="pct"/>
            <w:tcBorders>
              <w:top w:val="single" w:color="auto" w:sz="2" w:space="0"/>
              <w:left w:val="single" w:color="auto" w:sz="2" w:space="0"/>
              <w:bottom w:val="single" w:color="auto" w:sz="2" w:space="0"/>
              <w:right w:val="single" w:color="auto" w:sz="2" w:space="0"/>
            </w:tcBorders>
            <w:vAlign w:val="center"/>
          </w:tcPr>
          <w:p w14:paraId="455CBF27">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E6CA1E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联系人</w:t>
            </w:r>
          </w:p>
        </w:tc>
        <w:tc>
          <w:tcPr>
            <w:tcW w:w="1259" w:type="pct"/>
            <w:tcBorders>
              <w:top w:val="single" w:color="auto" w:sz="2" w:space="0"/>
              <w:left w:val="single" w:color="auto" w:sz="2" w:space="0"/>
              <w:bottom w:val="single" w:color="auto" w:sz="2" w:space="0"/>
            </w:tcBorders>
            <w:vAlign w:val="center"/>
          </w:tcPr>
          <w:p w14:paraId="28B2A1D6">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36473AA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70BC5CC">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7B5D3E01">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51118BC">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联系电话</w:t>
            </w:r>
          </w:p>
        </w:tc>
        <w:tc>
          <w:tcPr>
            <w:tcW w:w="1259" w:type="pct"/>
            <w:tcBorders>
              <w:top w:val="single" w:color="auto" w:sz="2" w:space="0"/>
              <w:left w:val="single" w:color="auto" w:sz="2" w:space="0"/>
              <w:bottom w:val="single" w:color="auto" w:sz="2" w:space="0"/>
            </w:tcBorders>
            <w:vAlign w:val="center"/>
          </w:tcPr>
          <w:p w14:paraId="5FB0F5B6">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5BFEED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A5D8819">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73312F1D">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A30E903">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通信地址</w:t>
            </w:r>
          </w:p>
        </w:tc>
        <w:tc>
          <w:tcPr>
            <w:tcW w:w="1259" w:type="pct"/>
            <w:tcBorders>
              <w:top w:val="single" w:color="auto" w:sz="2" w:space="0"/>
              <w:left w:val="single" w:color="auto" w:sz="2" w:space="0"/>
              <w:bottom w:val="single" w:color="auto" w:sz="2" w:space="0"/>
            </w:tcBorders>
            <w:vAlign w:val="center"/>
          </w:tcPr>
          <w:p w14:paraId="68633FF1">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6F02212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C0AC92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566DA26A">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32E42AD">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邮政编码</w:t>
            </w:r>
          </w:p>
        </w:tc>
        <w:tc>
          <w:tcPr>
            <w:tcW w:w="1259" w:type="pct"/>
            <w:tcBorders>
              <w:top w:val="single" w:color="auto" w:sz="2" w:space="0"/>
              <w:left w:val="single" w:color="auto" w:sz="2" w:space="0"/>
              <w:bottom w:val="single" w:color="auto" w:sz="2" w:space="0"/>
            </w:tcBorders>
            <w:vAlign w:val="center"/>
          </w:tcPr>
          <w:p w14:paraId="7674EF5A">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785E5C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9D74369">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23560D6">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64CCEEFB">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电子邮箱</w:t>
            </w:r>
          </w:p>
        </w:tc>
        <w:tc>
          <w:tcPr>
            <w:tcW w:w="1259" w:type="pct"/>
            <w:tcBorders>
              <w:top w:val="single" w:color="auto" w:sz="2" w:space="0"/>
              <w:left w:val="single" w:color="auto" w:sz="2" w:space="0"/>
              <w:bottom w:val="single" w:color="auto" w:sz="2" w:space="0"/>
            </w:tcBorders>
            <w:vAlign w:val="center"/>
          </w:tcPr>
          <w:p w14:paraId="5C1C537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36DDAD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041A1CD">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566E4A6">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4EC310DD">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eastAsia" w:ascii="Calibri" w:hAnsi="Calibri"/>
                <w:color w:val="auto"/>
                <w:szCs w:val="21"/>
                <w:highlight w:val="none"/>
              </w:rPr>
              <w:t>统一社会信用代码</w:t>
            </w:r>
          </w:p>
        </w:tc>
        <w:tc>
          <w:tcPr>
            <w:tcW w:w="1259" w:type="pct"/>
            <w:tcBorders>
              <w:top w:val="single" w:color="auto" w:sz="2" w:space="0"/>
              <w:left w:val="single" w:color="auto" w:sz="2" w:space="0"/>
              <w:bottom w:val="single" w:color="auto" w:sz="2" w:space="0"/>
            </w:tcBorders>
            <w:vAlign w:val="center"/>
          </w:tcPr>
          <w:p w14:paraId="1BAE3D78">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2B65B3B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DF107DD">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1F08129B">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B014EFC">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开户名称</w:t>
            </w:r>
          </w:p>
        </w:tc>
        <w:tc>
          <w:tcPr>
            <w:tcW w:w="1259" w:type="pct"/>
            <w:tcBorders>
              <w:top w:val="single" w:color="auto" w:sz="2" w:space="0"/>
              <w:left w:val="single" w:color="auto" w:sz="2" w:space="0"/>
              <w:bottom w:val="single" w:color="auto" w:sz="2" w:space="0"/>
            </w:tcBorders>
            <w:vAlign w:val="center"/>
          </w:tcPr>
          <w:p w14:paraId="2639514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6999226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54ECF87">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41B93101">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BF39269">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开户银行</w:t>
            </w:r>
          </w:p>
        </w:tc>
        <w:tc>
          <w:tcPr>
            <w:tcW w:w="1259" w:type="pct"/>
            <w:tcBorders>
              <w:top w:val="single" w:color="auto" w:sz="2" w:space="0"/>
              <w:left w:val="single" w:color="auto" w:sz="2" w:space="0"/>
              <w:bottom w:val="single" w:color="auto" w:sz="2" w:space="0"/>
            </w:tcBorders>
            <w:vAlign w:val="center"/>
          </w:tcPr>
          <w:p w14:paraId="4EE957AE">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46BA321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0F0A284">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313E598F">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5A6C9C67">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zCs w:val="21"/>
                <w:highlight w:val="none"/>
              </w:rPr>
            </w:pPr>
            <w:r>
              <w:rPr>
                <w:rFonts w:hint="default" w:ascii="Calibri" w:hAnsi="Calibri"/>
                <w:color w:val="auto"/>
                <w:szCs w:val="21"/>
                <w:highlight w:val="none"/>
              </w:rPr>
              <w:t>银行账号</w:t>
            </w:r>
          </w:p>
        </w:tc>
        <w:tc>
          <w:tcPr>
            <w:tcW w:w="1259" w:type="pct"/>
            <w:tcBorders>
              <w:top w:val="single" w:color="auto" w:sz="2" w:space="0"/>
              <w:left w:val="single" w:color="auto" w:sz="2" w:space="0"/>
              <w:bottom w:val="single" w:color="auto" w:sz="2" w:space="0"/>
            </w:tcBorders>
            <w:vAlign w:val="center"/>
          </w:tcPr>
          <w:p w14:paraId="74EC5EAA">
            <w:pPr>
              <w:keepNext w:val="0"/>
              <w:keepLines w:val="0"/>
              <w:suppressLineNumbers w:val="0"/>
              <w:adjustRightInd w:val="0"/>
              <w:snapToGrid w:val="0"/>
              <w:spacing w:before="0" w:beforeAutospacing="0" w:after="0" w:afterAutospacing="0" w:line="360" w:lineRule="auto"/>
              <w:ind w:left="0" w:right="0"/>
              <w:jc w:val="center"/>
              <w:rPr>
                <w:rFonts w:hint="default" w:ascii="Calibri" w:hAnsi="Calibri"/>
                <w:color w:val="auto"/>
                <w:spacing w:val="20"/>
                <w:szCs w:val="21"/>
                <w:highlight w:val="none"/>
              </w:rPr>
            </w:pPr>
          </w:p>
        </w:tc>
      </w:tr>
      <w:tr w14:paraId="56DA89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586" w:hRule="atLeast"/>
        </w:trPr>
        <w:tc>
          <w:tcPr>
            <w:tcW w:w="5000" w:type="pct"/>
            <w:gridSpan w:val="4"/>
            <w:tcBorders>
              <w:top w:val="single" w:color="auto" w:sz="2" w:space="0"/>
            </w:tcBorders>
            <w:vAlign w:val="center"/>
          </w:tcPr>
          <w:p w14:paraId="50089B8E">
            <w:pPr>
              <w:keepNext w:val="0"/>
              <w:keepLines w:val="0"/>
              <w:suppressLineNumbers w:val="0"/>
              <w:adjustRightInd w:val="0"/>
              <w:snapToGrid w:val="0"/>
              <w:spacing w:before="0" w:beforeAutospacing="0" w:after="0" w:afterAutospacing="0" w:line="360" w:lineRule="auto"/>
              <w:ind w:left="0" w:right="0"/>
              <w:jc w:val="left"/>
              <w:rPr>
                <w:rFonts w:hint="default" w:ascii="Calibri" w:hAnsi="Calibri"/>
                <w:color w:val="auto"/>
                <w:spacing w:val="20"/>
                <w:szCs w:val="21"/>
                <w:highlight w:val="none"/>
              </w:rPr>
            </w:pPr>
            <w:r>
              <w:rPr>
                <w:rFonts w:hint="eastAsia" w:ascii="宋体" w:hAnsi="宋体"/>
                <w:color w:val="auto"/>
                <w:szCs w:val="21"/>
                <w:highlight w:val="none"/>
              </w:rPr>
              <w:t>注：涉及联合体或其他合同主体的信息应按上表格式加列。</w:t>
            </w:r>
          </w:p>
        </w:tc>
      </w:tr>
    </w:tbl>
    <w:p w14:paraId="222E42C3">
      <w:pPr>
        <w:pStyle w:val="2"/>
        <w:adjustRightInd w:val="0"/>
        <w:snapToGrid w:val="0"/>
        <w:spacing w:before="0" w:after="0" w:line="360" w:lineRule="auto"/>
        <w:jc w:val="center"/>
        <w:rPr>
          <w:rFonts w:ascii="黑体" w:hAnsi="黑体"/>
          <w:color w:val="auto"/>
          <w:sz w:val="28"/>
          <w:szCs w:val="28"/>
          <w:highlight w:val="none"/>
        </w:rPr>
      </w:pPr>
      <w:r>
        <w:rPr>
          <w:rFonts w:ascii="宋体" w:hAnsi="宋体"/>
          <w:color w:val="auto"/>
          <w:sz w:val="21"/>
          <w:szCs w:val="21"/>
          <w:highlight w:val="none"/>
          <w:u w:val="single"/>
        </w:rPr>
        <w:br w:type="page"/>
      </w:r>
      <w:bookmarkStart w:id="8" w:name="_Toc27624"/>
      <w:r>
        <w:rPr>
          <w:rFonts w:hint="eastAsia" w:ascii="黑体" w:hAnsi="黑体"/>
          <w:b w:val="0"/>
          <w:bCs w:val="0"/>
          <w:color w:val="auto"/>
          <w:sz w:val="28"/>
          <w:szCs w:val="28"/>
          <w:highlight w:val="none"/>
        </w:rPr>
        <w:t>第二节 政府采购合同通用条款</w:t>
      </w:r>
      <w:bookmarkEnd w:id="8"/>
    </w:p>
    <w:p w14:paraId="47FCF9EE">
      <w:pPr>
        <w:tabs>
          <w:tab w:val="left" w:pos="8820"/>
          <w:tab w:val="left" w:pos="9345"/>
          <w:tab w:val="left" w:pos="9765"/>
        </w:tabs>
        <w:adjustRightInd w:val="0"/>
        <w:snapToGrid w:val="0"/>
        <w:spacing w:line="360" w:lineRule="auto"/>
        <w:jc w:val="left"/>
        <w:rPr>
          <w:rFonts w:ascii="宋体" w:hAnsi="宋体"/>
          <w:b/>
          <w:bCs/>
          <w:color w:val="auto"/>
          <w:sz w:val="24"/>
          <w:szCs w:val="20"/>
          <w:highlight w:val="none"/>
        </w:rPr>
      </w:pPr>
      <w:r>
        <w:rPr>
          <w:rFonts w:hint="eastAsia" w:ascii="宋体" w:hAnsi="宋体"/>
          <w:b/>
          <w:color w:val="auto"/>
          <w:sz w:val="24"/>
          <w:szCs w:val="20"/>
          <w:highlight w:val="none"/>
        </w:rPr>
        <w:t xml:space="preserve">1. </w:t>
      </w:r>
      <w:r>
        <w:rPr>
          <w:rFonts w:hint="eastAsia" w:ascii="宋体" w:hAnsi="宋体"/>
          <w:b/>
          <w:bCs/>
          <w:color w:val="auto"/>
          <w:sz w:val="24"/>
          <w:szCs w:val="20"/>
          <w:highlight w:val="none"/>
        </w:rPr>
        <w:t>定义</w:t>
      </w:r>
    </w:p>
    <w:p w14:paraId="69BB95B3">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1.1合同当事人</w:t>
      </w:r>
    </w:p>
    <w:p w14:paraId="193B992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（1）采购人（以下称甲方）是指使用财政性资金，通过政府采购方式向供应商购买货物及其相关服务的国家机关、事业单位、团体组织。</w:t>
      </w:r>
    </w:p>
    <w:p w14:paraId="129E4AC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（2）供应商（以下称乙方）是指参加政府采购活动并且中标（成交），向采购人提供合同约定的货物及其相关服务的法人、非法人组织或者自然人。</w:t>
      </w:r>
    </w:p>
    <w:p w14:paraId="07F8927A">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cs="宋体"/>
          <w:bCs/>
          <w:color w:val="auto"/>
          <w:szCs w:val="21"/>
          <w:highlight w:val="none"/>
        </w:rPr>
        <w:t>依法参与合同缔结或履行，享有权利、承担义务的合同当事人</w:t>
      </w:r>
      <w:r>
        <w:rPr>
          <w:rFonts w:hint="eastAsia" w:ascii="宋体" w:hAnsi="宋体"/>
          <w:color w:val="auto"/>
          <w:szCs w:val="21"/>
          <w:highlight w:val="none"/>
        </w:rPr>
        <w:t>。</w:t>
      </w:r>
    </w:p>
    <w:p w14:paraId="01B1D502">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10C6EC69">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cs="宋体"/>
          <w:bCs/>
          <w:color w:val="auto"/>
          <w:szCs w:val="21"/>
          <w:highlight w:val="none"/>
        </w:rPr>
        <w:t>合同当事人意思表示达成一致的任何协议，包括签署的</w:t>
      </w:r>
      <w:r>
        <w:rPr>
          <w:rFonts w:hint="eastAsia" w:ascii="宋体" w:hAnsi="宋体"/>
          <w:color w:val="auto"/>
          <w:szCs w:val="21"/>
          <w:highlight w:val="none"/>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auto"/>
          <w:szCs w:val="21"/>
          <w:highlight w:val="none"/>
        </w:rPr>
        <w:t>国家法律、行政法规和规章制度规定或合同约定的作为合同组成部分的其他文件</w:t>
      </w:r>
      <w:r>
        <w:rPr>
          <w:rFonts w:hint="eastAsia" w:ascii="宋体" w:hAnsi="宋体"/>
          <w:color w:val="auto"/>
          <w:szCs w:val="21"/>
          <w:highlight w:val="none"/>
        </w:rPr>
        <w:t>。</w:t>
      </w:r>
    </w:p>
    <w:p w14:paraId="6052DF5A">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（2）“合同价款”系指根据本合同规定乙方在全面履行合同义务后甲方应支付给乙方的价款。</w:t>
      </w:r>
    </w:p>
    <w:p w14:paraId="6CE39A61">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（3）“货物”系指乙方根据本合同规定须向甲方提供的各种形态和种类的物品，包括原材料、设备、产品（</w:t>
      </w:r>
      <w:r>
        <w:rPr>
          <w:rFonts w:hint="eastAsia" w:ascii="宋体" w:hAnsi="宋体"/>
          <w:color w:val="auto"/>
          <w:szCs w:val="21"/>
          <w:highlight w:val="none"/>
        </w:rPr>
        <w:t>包括软件）及相关的其备品备件、工具、手册及</w:t>
      </w:r>
      <w:r>
        <w:rPr>
          <w:rFonts w:ascii="宋体" w:hAnsi="宋体"/>
          <w:color w:val="auto"/>
          <w:szCs w:val="21"/>
          <w:highlight w:val="none"/>
        </w:rPr>
        <w:t>其他</w:t>
      </w:r>
      <w:r>
        <w:rPr>
          <w:rFonts w:hint="eastAsia" w:ascii="宋体" w:hAnsi="宋体"/>
          <w:color w:val="auto"/>
          <w:szCs w:val="21"/>
          <w:highlight w:val="none"/>
        </w:rPr>
        <w:t>技术资料和材料等。</w:t>
      </w:r>
    </w:p>
    <w:p w14:paraId="2300CBD9">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rPr>
        <w:t>相关</w:t>
      </w:r>
      <w:r>
        <w:rPr>
          <w:rFonts w:hint="eastAsia" w:ascii="宋体" w:hAnsi="宋体"/>
          <w:color w:val="auto"/>
          <w:szCs w:val="21"/>
          <w:highlight w:val="none"/>
        </w:rPr>
        <w:t>服务”系指根据合同规定，乙方应提供的与货物有关的技术、管理和</w:t>
      </w:r>
      <w:r>
        <w:rPr>
          <w:rFonts w:ascii="宋体" w:hAnsi="宋体"/>
          <w:color w:val="auto"/>
          <w:szCs w:val="21"/>
          <w:highlight w:val="none"/>
        </w:rPr>
        <w:t>其他</w:t>
      </w:r>
      <w:r>
        <w:rPr>
          <w:rFonts w:hint="eastAsia" w:ascii="宋体" w:hAnsi="宋体"/>
          <w:color w:val="auto"/>
          <w:szCs w:val="21"/>
          <w:highlight w:val="none"/>
        </w:rPr>
        <w:t>服务，包括但不限于：管理和质量保证、运输、保险、检验、现场准备、安装、集成、调试、培训、维修、废弃处置、技术支持等以及合同中规定乙方应承担的</w:t>
      </w:r>
      <w:r>
        <w:rPr>
          <w:rFonts w:ascii="宋体" w:hAnsi="宋体"/>
          <w:color w:val="auto"/>
          <w:szCs w:val="21"/>
          <w:highlight w:val="none"/>
        </w:rPr>
        <w:t>其他</w:t>
      </w:r>
      <w:r>
        <w:rPr>
          <w:rFonts w:hint="eastAsia" w:ascii="宋体" w:hAnsi="宋体"/>
          <w:color w:val="auto"/>
          <w:szCs w:val="21"/>
          <w:highlight w:val="none"/>
        </w:rPr>
        <w:t>义务。</w:t>
      </w:r>
    </w:p>
    <w:p w14:paraId="62186C80">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（5）“分包”系指中标（成交）供应商按采购文件、投标（响应）文件的规定，根据分包意向协议，将中标（成交）项目中的部分履约内容，分给具有相应资质条件的供应商履行合同的行为。</w:t>
      </w:r>
    </w:p>
    <w:p w14:paraId="4806F1E3">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color w:val="auto"/>
          <w:szCs w:val="21"/>
          <w:highlight w:val="none"/>
        </w:rPr>
        <w:t>“联合体”系指由两个以上的自然人、法人或者非法人组织组成，以一个供应商的身份共同参加政府采购的主体</w:t>
      </w:r>
      <w:r>
        <w:rPr>
          <w:rFonts w:hint="eastAsia" w:ascii="宋体" w:hAnsi="宋体"/>
          <w:color w:val="auto"/>
          <w:szCs w:val="21"/>
          <w:highlight w:val="none"/>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auto"/>
          <w:szCs w:val="21"/>
          <w:highlight w:val="none"/>
        </w:rPr>
        <w:t>政府采购合同专用条款</w:t>
      </w:r>
      <w:r>
        <w:rPr>
          <w:rFonts w:hint="eastAsia" w:ascii="宋体" w:hAnsi="宋体"/>
          <w:color w:val="auto"/>
          <w:szCs w:val="21"/>
          <w:highlight w:val="none"/>
        </w:rPr>
        <w:t>】。</w:t>
      </w:r>
    </w:p>
    <w:p w14:paraId="46CE39E0">
      <w:pPr>
        <w:tabs>
          <w:tab w:val="left" w:pos="570"/>
          <w:tab w:val="left" w:pos="9240"/>
          <w:tab w:val="left" w:pos="9555"/>
        </w:tabs>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（7）其他术语解释，见【</w:t>
      </w:r>
      <w:r>
        <w:rPr>
          <w:rFonts w:hint="eastAsia" w:ascii="宋体" w:hAnsi="宋体"/>
          <w:b/>
          <w:bCs/>
          <w:color w:val="auto"/>
          <w:szCs w:val="21"/>
          <w:highlight w:val="none"/>
        </w:rPr>
        <w:t>政府采购合同专用条款</w:t>
      </w:r>
      <w:r>
        <w:rPr>
          <w:rFonts w:hint="eastAsia" w:ascii="宋体" w:hAnsi="宋体"/>
          <w:color w:val="auto"/>
          <w:szCs w:val="21"/>
          <w:highlight w:val="none"/>
        </w:rPr>
        <w:t>】。</w:t>
      </w:r>
    </w:p>
    <w:p w14:paraId="1C2BE1AE">
      <w:pPr>
        <w:numPr>
          <w:ilvl w:val="0"/>
          <w:numId w:val="4"/>
        </w:num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color w:val="auto"/>
          <w:sz w:val="24"/>
          <w:szCs w:val="20"/>
          <w:highlight w:val="none"/>
        </w:rPr>
        <w:t>合同标的及金额</w:t>
      </w:r>
    </w:p>
    <w:p w14:paraId="0424B27A">
      <w:pPr>
        <w:autoSpaceDE w:val="0"/>
        <w:autoSpaceDN w:val="0"/>
        <w:adjustRightInd w:val="0"/>
        <w:snapToGrid w:val="0"/>
        <w:spacing w:line="360" w:lineRule="auto"/>
        <w:ind w:firstLine="420" w:firstLineChars="200"/>
        <w:jc w:val="left"/>
        <w:rPr>
          <w:rFonts w:ascii="宋体" w:hAnsi="宋体"/>
          <w:b/>
          <w:bCs/>
          <w:i/>
          <w:iCs/>
          <w:color w:val="auto"/>
          <w:szCs w:val="21"/>
          <w:highlight w:val="none"/>
        </w:rPr>
      </w:pPr>
      <w:r>
        <w:rPr>
          <w:rFonts w:hint="eastAsia" w:ascii="宋体" w:hAnsi="宋体"/>
          <w:color w:val="auto"/>
          <w:szCs w:val="21"/>
          <w:highlight w:val="none"/>
        </w:rPr>
        <w:t>2.1 合同标的及金额应与中标（成交）结果一致。乙方为履行本合同而发生的所有费用均应包含在合同价款中，甲方不再另行支付</w:t>
      </w:r>
      <w:r>
        <w:rPr>
          <w:rFonts w:ascii="宋体" w:hAnsi="宋体"/>
          <w:color w:val="auto"/>
          <w:szCs w:val="21"/>
          <w:highlight w:val="none"/>
        </w:rPr>
        <w:t>其他</w:t>
      </w:r>
      <w:r>
        <w:rPr>
          <w:rFonts w:hint="eastAsia" w:ascii="宋体" w:hAnsi="宋体"/>
          <w:color w:val="auto"/>
          <w:szCs w:val="21"/>
          <w:highlight w:val="none"/>
        </w:rPr>
        <w:t>任何费用。</w:t>
      </w:r>
    </w:p>
    <w:p w14:paraId="72949701">
      <w:pPr>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3. 履行合同的时间、地点和方式</w:t>
      </w:r>
    </w:p>
    <w:p w14:paraId="0003C393">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3.1 </w:t>
      </w:r>
      <w:r>
        <w:rPr>
          <w:rFonts w:hint="eastAsia" w:ascii="宋体" w:hAnsi="宋体" w:cs="宋体"/>
          <w:color w:val="auto"/>
          <w:szCs w:val="21"/>
          <w:highlight w:val="none"/>
        </w:rPr>
        <w:t>乙方应当在约定的时间、地点，按照约定方式履行合同。</w:t>
      </w:r>
    </w:p>
    <w:p w14:paraId="12BEE56A">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4. 甲方的权利和义务</w:t>
      </w:r>
    </w:p>
    <w:p w14:paraId="0DA2FD40">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4.1</w:t>
      </w:r>
      <w:r>
        <w:rPr>
          <w:rFonts w:ascii="宋体" w:hAnsi="宋体"/>
          <w:color w:val="auto"/>
          <w:szCs w:val="21"/>
          <w:highlight w:val="none"/>
        </w:rPr>
        <w:t xml:space="preserve"> 签署合同后，甲方</w:t>
      </w:r>
      <w:r>
        <w:rPr>
          <w:rFonts w:hint="eastAsia" w:ascii="宋体" w:hAnsi="宋体"/>
          <w:color w:val="auto"/>
          <w:szCs w:val="21"/>
          <w:highlight w:val="none"/>
        </w:rPr>
        <w:t>应</w:t>
      </w:r>
      <w:r>
        <w:rPr>
          <w:rFonts w:ascii="宋体" w:hAnsi="宋体"/>
          <w:color w:val="auto"/>
          <w:szCs w:val="21"/>
          <w:highlight w:val="none"/>
        </w:rPr>
        <w:t>确定</w:t>
      </w:r>
      <w:r>
        <w:rPr>
          <w:rFonts w:hint="eastAsia" w:ascii="宋体" w:hAnsi="宋体"/>
          <w:color w:val="auto"/>
          <w:szCs w:val="21"/>
          <w:highlight w:val="none"/>
        </w:rPr>
        <w:t>项目负责人（或项目联系人）</w:t>
      </w:r>
      <w:r>
        <w:rPr>
          <w:rFonts w:ascii="宋体" w:hAnsi="宋体"/>
          <w:color w:val="auto"/>
          <w:szCs w:val="21"/>
          <w:highlight w:val="none"/>
        </w:rPr>
        <w:t>，负责与本合同有关的事务。</w:t>
      </w:r>
      <w:r>
        <w:rPr>
          <w:rFonts w:hint="eastAsia" w:ascii="宋体" w:hAnsi="宋体"/>
          <w:color w:val="auto"/>
          <w:szCs w:val="21"/>
          <w:highlight w:val="none"/>
        </w:rPr>
        <w:t>甲方有权对乙方的履约行为进行检查，并</w:t>
      </w:r>
      <w:r>
        <w:rPr>
          <w:rFonts w:ascii="宋体" w:hAnsi="宋体"/>
          <w:color w:val="auto"/>
          <w:szCs w:val="21"/>
          <w:highlight w:val="none"/>
        </w:rPr>
        <w:t>及时确认乙方提交的事项</w:t>
      </w:r>
      <w:r>
        <w:rPr>
          <w:rFonts w:hint="eastAsia" w:ascii="宋体" w:hAnsi="宋体"/>
          <w:color w:val="auto"/>
          <w:szCs w:val="21"/>
          <w:highlight w:val="none"/>
        </w:rPr>
        <w:t>。甲方应当</w:t>
      </w:r>
      <w:r>
        <w:rPr>
          <w:rFonts w:ascii="宋体" w:hAnsi="宋体"/>
          <w:color w:val="auto"/>
          <w:szCs w:val="21"/>
          <w:highlight w:val="none"/>
        </w:rPr>
        <w:t>配合乙方完成</w:t>
      </w:r>
      <w:r>
        <w:rPr>
          <w:rFonts w:hint="eastAsia" w:ascii="宋体" w:hAnsi="宋体"/>
          <w:color w:val="auto"/>
          <w:szCs w:val="21"/>
          <w:highlight w:val="none"/>
        </w:rPr>
        <w:t>相关项目</w:t>
      </w:r>
      <w:r>
        <w:rPr>
          <w:rFonts w:ascii="宋体" w:hAnsi="宋体"/>
          <w:color w:val="auto"/>
          <w:szCs w:val="21"/>
          <w:highlight w:val="none"/>
        </w:rPr>
        <w:t>实施工作。</w:t>
      </w:r>
    </w:p>
    <w:p w14:paraId="3570504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4.2 </w:t>
      </w:r>
      <w:r>
        <w:rPr>
          <w:rFonts w:ascii="宋体" w:hAnsi="宋体"/>
          <w:color w:val="auto"/>
          <w:szCs w:val="21"/>
          <w:highlight w:val="none"/>
        </w:rPr>
        <w:t>甲方有权要求乙方按时提交各阶段有关</w:t>
      </w:r>
      <w:r>
        <w:rPr>
          <w:rFonts w:hint="eastAsia" w:ascii="宋体" w:hAnsi="宋体"/>
          <w:color w:val="auto"/>
          <w:szCs w:val="21"/>
          <w:highlight w:val="none"/>
        </w:rPr>
        <w:t>安排计划</w:t>
      </w:r>
      <w:r>
        <w:rPr>
          <w:rFonts w:ascii="宋体" w:hAnsi="宋体"/>
          <w:color w:val="auto"/>
          <w:szCs w:val="21"/>
          <w:highlight w:val="none"/>
        </w:rPr>
        <w:t>，并有权</w:t>
      </w:r>
      <w:r>
        <w:rPr>
          <w:rFonts w:hint="eastAsia" w:ascii="宋体" w:hAnsi="宋体"/>
          <w:color w:val="auto"/>
          <w:szCs w:val="21"/>
          <w:highlight w:val="none"/>
        </w:rPr>
        <w:t>定期核对乙方提供货物数量、规格、质量等内容。甲方</w:t>
      </w:r>
      <w:r>
        <w:rPr>
          <w:rFonts w:ascii="宋体" w:hAnsi="宋体"/>
          <w:color w:val="auto"/>
          <w:szCs w:val="21"/>
          <w:highlight w:val="none"/>
        </w:rPr>
        <w:t>有权督促乙方工作并要求乙方</w:t>
      </w:r>
      <w:r>
        <w:rPr>
          <w:rFonts w:hint="eastAsia" w:ascii="宋体" w:hAnsi="宋体"/>
          <w:color w:val="auto"/>
          <w:szCs w:val="21"/>
          <w:highlight w:val="none"/>
        </w:rPr>
        <w:t>更</w:t>
      </w:r>
      <w:r>
        <w:rPr>
          <w:rFonts w:ascii="宋体" w:hAnsi="宋体"/>
          <w:color w:val="auto"/>
          <w:szCs w:val="21"/>
          <w:highlight w:val="none"/>
        </w:rPr>
        <w:t>换不符合要求的</w:t>
      </w:r>
      <w:r>
        <w:rPr>
          <w:rFonts w:hint="eastAsia" w:ascii="宋体" w:hAnsi="宋体"/>
          <w:color w:val="auto"/>
          <w:szCs w:val="21"/>
          <w:highlight w:val="none"/>
        </w:rPr>
        <w:t>货物</w:t>
      </w:r>
      <w:r>
        <w:rPr>
          <w:rFonts w:ascii="宋体" w:hAnsi="宋体"/>
          <w:color w:val="auto"/>
          <w:szCs w:val="21"/>
          <w:highlight w:val="none"/>
        </w:rPr>
        <w:t>。</w:t>
      </w:r>
    </w:p>
    <w:p w14:paraId="559DD6E3">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w:t>
      </w:r>
      <w:r>
        <w:rPr>
          <w:rFonts w:ascii="宋体" w:hAnsi="宋体"/>
          <w:color w:val="auto"/>
          <w:szCs w:val="21"/>
          <w:highlight w:val="none"/>
        </w:rPr>
        <w:t>3甲方</w:t>
      </w:r>
      <w:r>
        <w:rPr>
          <w:rFonts w:hint="eastAsia" w:ascii="宋体" w:hAnsi="宋体"/>
          <w:color w:val="auto"/>
          <w:szCs w:val="21"/>
          <w:highlight w:val="none"/>
        </w:rPr>
        <w:t>有权要求乙方对缺陷部分予以修复，并按合同约定享有货物保修及其他合同约定的权利。</w:t>
      </w:r>
    </w:p>
    <w:p w14:paraId="67A208A1">
      <w:pPr>
        <w:snapToGrid w:val="0"/>
        <w:spacing w:line="360" w:lineRule="auto"/>
        <w:ind w:firstLine="420" w:firstLineChars="200"/>
        <w:rPr>
          <w:rFonts w:ascii="Calibri" w:hAnsi="Calibri" w:eastAsia="华文楷体"/>
          <w:color w:val="auto"/>
          <w:szCs w:val="20"/>
          <w:highlight w:val="none"/>
        </w:rPr>
      </w:pPr>
      <w:r>
        <w:rPr>
          <w:rFonts w:ascii="宋体" w:hAnsi="宋体"/>
          <w:color w:val="auto"/>
          <w:szCs w:val="21"/>
          <w:highlight w:val="none"/>
        </w:rPr>
        <w:t>4.4 甲方应当按照合同约定及时对交付的货物进行验收</w:t>
      </w:r>
      <w:r>
        <w:rPr>
          <w:rFonts w:hint="eastAsia" w:ascii="宋体" w:hAnsi="宋体"/>
          <w:color w:val="auto"/>
          <w:szCs w:val="21"/>
          <w:highlight w:val="none"/>
        </w:rPr>
        <w:t>，</w:t>
      </w:r>
      <w:r>
        <w:rPr>
          <w:rFonts w:hint="eastAsia" w:ascii="宋体" w:hAnsi="宋体" w:cs="宋体"/>
          <w:color w:val="auto"/>
          <w:szCs w:val="21"/>
          <w:highlight w:val="none"/>
        </w:rPr>
        <w:t>未</w:t>
      </w:r>
      <w:r>
        <w:rPr>
          <w:rFonts w:hint="eastAsia" w:ascii="宋体" w:hAnsi="宋体"/>
          <w:color w:val="auto"/>
          <w:szCs w:val="21"/>
          <w:highlight w:val="none"/>
        </w:rPr>
        <w:t>在</w:t>
      </w:r>
      <w:r>
        <w:rPr>
          <w:rFonts w:hint="eastAsia" w:ascii="宋体" w:hAnsi="宋体" w:cs="宋体"/>
          <w:b/>
          <w:bCs/>
          <w:color w:val="auto"/>
          <w:szCs w:val="21"/>
          <w:highlight w:val="none"/>
        </w:rPr>
        <w:t>【政府采购合同专用条款】</w:t>
      </w:r>
      <w:r>
        <w:rPr>
          <w:rFonts w:hint="eastAsia" w:ascii="宋体" w:hAnsi="宋体" w:cs="宋体"/>
          <w:color w:val="auto"/>
          <w:szCs w:val="21"/>
          <w:highlight w:val="none"/>
        </w:rPr>
        <w:t>约定的期限内对乙方履约提出任何异议或者向乙方作出任何说明的，</w:t>
      </w:r>
      <w:r>
        <w:rPr>
          <w:rFonts w:hint="eastAsia" w:ascii="宋体" w:hAnsi="宋体"/>
          <w:color w:val="auto"/>
          <w:szCs w:val="21"/>
          <w:highlight w:val="none"/>
        </w:rPr>
        <w:t>视为验收通过。</w:t>
      </w:r>
    </w:p>
    <w:p w14:paraId="414800D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w:t>
      </w:r>
      <w:r>
        <w:rPr>
          <w:rFonts w:ascii="宋体" w:hAnsi="宋体"/>
          <w:color w:val="auto"/>
          <w:szCs w:val="21"/>
          <w:highlight w:val="none"/>
        </w:rPr>
        <w:t xml:space="preserve">5 </w:t>
      </w:r>
      <w:r>
        <w:rPr>
          <w:rFonts w:hint="eastAsia" w:ascii="宋体" w:hAnsi="宋体"/>
          <w:color w:val="auto"/>
          <w:szCs w:val="21"/>
          <w:highlight w:val="none"/>
        </w:rPr>
        <w:t>甲方应当根据合同约定及时向乙方支付合同价款</w:t>
      </w:r>
      <w:r>
        <w:rPr>
          <w:rFonts w:ascii="宋体" w:hAnsi="宋体"/>
          <w:color w:val="auto"/>
          <w:szCs w:val="21"/>
          <w:highlight w:val="none"/>
        </w:rPr>
        <w:t>，不得以内部人员变更、履行内部付款流程等为由，拒绝或迟延支付。</w:t>
      </w:r>
    </w:p>
    <w:p w14:paraId="1082290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4.6国家法律法规规定及</w:t>
      </w:r>
      <w:r>
        <w:rPr>
          <w:rFonts w:hint="eastAsia" w:ascii="宋体" w:hAnsi="宋体" w:cs="宋体"/>
          <w:b/>
          <w:bCs/>
          <w:color w:val="auto"/>
          <w:szCs w:val="21"/>
          <w:highlight w:val="none"/>
        </w:rPr>
        <w:t>【政府采购合同专用条款】</w:t>
      </w:r>
      <w:r>
        <w:rPr>
          <w:rFonts w:hint="eastAsia" w:ascii="宋体" w:hAnsi="宋体"/>
          <w:color w:val="auto"/>
          <w:szCs w:val="21"/>
          <w:highlight w:val="none"/>
        </w:rPr>
        <w:t>约定应由甲方承担的其他义务和责任。</w:t>
      </w:r>
    </w:p>
    <w:p w14:paraId="133986C1">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5. 乙方的权利和义务</w:t>
      </w:r>
    </w:p>
    <w:p w14:paraId="186C54A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5.1 </w:t>
      </w:r>
      <w:r>
        <w:rPr>
          <w:rFonts w:ascii="宋体" w:hAnsi="宋体"/>
          <w:color w:val="auto"/>
          <w:szCs w:val="21"/>
          <w:highlight w:val="none"/>
        </w:rPr>
        <w:t>签署合同后，乙方</w:t>
      </w:r>
      <w:r>
        <w:rPr>
          <w:rFonts w:hint="eastAsia" w:ascii="宋体" w:hAnsi="宋体"/>
          <w:color w:val="auto"/>
          <w:szCs w:val="21"/>
          <w:highlight w:val="none"/>
        </w:rPr>
        <w:t>应</w:t>
      </w:r>
      <w:r>
        <w:rPr>
          <w:rFonts w:ascii="宋体" w:hAnsi="宋体"/>
          <w:color w:val="auto"/>
          <w:szCs w:val="21"/>
          <w:highlight w:val="none"/>
        </w:rPr>
        <w:t>确定</w:t>
      </w:r>
      <w:r>
        <w:rPr>
          <w:rFonts w:hint="eastAsia" w:ascii="宋体" w:hAnsi="宋体"/>
          <w:color w:val="auto"/>
          <w:szCs w:val="21"/>
          <w:highlight w:val="none"/>
        </w:rPr>
        <w:t>项目负责人（或项目联系人）</w:t>
      </w:r>
      <w:r>
        <w:rPr>
          <w:rFonts w:ascii="宋体" w:hAnsi="宋体"/>
          <w:color w:val="auto"/>
          <w:szCs w:val="21"/>
          <w:highlight w:val="none"/>
        </w:rPr>
        <w:t>，负责与本合同有关的事务。</w:t>
      </w:r>
    </w:p>
    <w:p w14:paraId="463881FC">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2 乙方应按照合同要求</w:t>
      </w:r>
      <w:r>
        <w:rPr>
          <w:rFonts w:hint="eastAsia" w:ascii="宋体" w:hAnsi="宋体"/>
          <w:color w:val="auto"/>
          <w:szCs w:val="21"/>
          <w:highlight w:val="none"/>
        </w:rPr>
        <w:t>履约</w:t>
      </w:r>
      <w:r>
        <w:rPr>
          <w:rFonts w:ascii="宋体" w:hAnsi="宋体"/>
          <w:color w:val="auto"/>
          <w:szCs w:val="21"/>
          <w:highlight w:val="none"/>
        </w:rPr>
        <w:t>，充分合理安排，确保</w:t>
      </w:r>
      <w:r>
        <w:rPr>
          <w:rFonts w:hint="eastAsia" w:ascii="宋体" w:hAnsi="宋体"/>
          <w:color w:val="auto"/>
          <w:szCs w:val="21"/>
          <w:highlight w:val="none"/>
        </w:rPr>
        <w:t>提供的货物及相关服务符合合同有关</w:t>
      </w:r>
      <w:r>
        <w:rPr>
          <w:rFonts w:ascii="宋体" w:hAnsi="宋体"/>
          <w:color w:val="auto"/>
          <w:szCs w:val="21"/>
          <w:highlight w:val="none"/>
        </w:rPr>
        <w:t>要求</w:t>
      </w:r>
      <w:r>
        <w:rPr>
          <w:rFonts w:hint="eastAsia" w:ascii="宋体" w:hAnsi="宋体"/>
          <w:color w:val="auto"/>
          <w:szCs w:val="21"/>
          <w:highlight w:val="none"/>
        </w:rPr>
        <w:t>。接受项目行业管理部门及政府有关部门的指导，配合甲方的履约检查及验收，并</w:t>
      </w:r>
      <w:r>
        <w:rPr>
          <w:rFonts w:ascii="宋体" w:hAnsi="宋体"/>
          <w:color w:val="auto"/>
          <w:szCs w:val="21"/>
          <w:highlight w:val="none"/>
        </w:rPr>
        <w:t>负责项目实施过程中的所有协调工作。</w:t>
      </w:r>
    </w:p>
    <w:p w14:paraId="4945551D">
      <w:pPr>
        <w:spacing w:line="360" w:lineRule="auto"/>
        <w:ind w:firstLine="369" w:firstLineChars="176"/>
        <w:rPr>
          <w:rFonts w:ascii="宋体" w:hAnsi="宋体" w:cs="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3</w:t>
      </w:r>
      <w:r>
        <w:rPr>
          <w:rFonts w:hint="eastAsia" w:ascii="宋体" w:hAnsi="宋体"/>
          <w:color w:val="auto"/>
          <w:szCs w:val="21"/>
          <w:highlight w:val="none"/>
        </w:rPr>
        <w:t>乙方有权</w:t>
      </w:r>
      <w:r>
        <w:rPr>
          <w:rFonts w:hint="eastAsia" w:ascii="宋体" w:hAnsi="宋体" w:cs="宋体"/>
          <w:color w:val="auto"/>
          <w:szCs w:val="21"/>
          <w:highlight w:val="none"/>
        </w:rPr>
        <w:t>根据合同约定向甲方收取合同价款。</w:t>
      </w:r>
    </w:p>
    <w:p w14:paraId="03BD8737">
      <w:pPr>
        <w:spacing w:line="360" w:lineRule="auto"/>
        <w:ind w:firstLine="369" w:firstLineChars="176"/>
        <w:rPr>
          <w:rFonts w:ascii="宋体" w:hAnsi="宋体" w:cs="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4</w:t>
      </w:r>
      <w:r>
        <w:rPr>
          <w:rFonts w:hint="eastAsia" w:ascii="宋体" w:hAnsi="宋体" w:cs="宋体"/>
          <w:color w:val="auto"/>
          <w:szCs w:val="21"/>
          <w:highlight w:val="none"/>
        </w:rPr>
        <w:t>国家法律法规规定</w:t>
      </w:r>
      <w:r>
        <w:rPr>
          <w:rFonts w:hint="eastAsia" w:ascii="宋体" w:hAnsi="宋体"/>
          <w:color w:val="auto"/>
          <w:szCs w:val="21"/>
          <w:highlight w:val="none"/>
        </w:rPr>
        <w:t>及</w:t>
      </w:r>
      <w:r>
        <w:rPr>
          <w:rFonts w:hint="eastAsia" w:ascii="宋体" w:hAnsi="宋体" w:cs="宋体"/>
          <w:b/>
          <w:bCs/>
          <w:color w:val="auto"/>
          <w:szCs w:val="21"/>
          <w:highlight w:val="none"/>
        </w:rPr>
        <w:t>【政府采购合同专用条款】</w:t>
      </w:r>
      <w:r>
        <w:rPr>
          <w:rFonts w:hint="eastAsia" w:ascii="宋体" w:hAnsi="宋体" w:cs="宋体"/>
          <w:color w:val="auto"/>
          <w:szCs w:val="21"/>
          <w:highlight w:val="none"/>
        </w:rPr>
        <w:t>约定应</w:t>
      </w:r>
      <w:r>
        <w:rPr>
          <w:rFonts w:hint="eastAsia" w:ascii="宋体" w:hAnsi="宋体" w:cs="宋体"/>
          <w:color w:val="auto"/>
          <w:szCs w:val="21"/>
          <w:highlight w:val="none"/>
        </w:rPr>
        <w:t>由乙方承担的其他义务和责任。</w:t>
      </w:r>
    </w:p>
    <w:p w14:paraId="4ED095A6">
      <w:pPr>
        <w:numPr>
          <w:ilvl w:val="0"/>
          <w:numId w:val="5"/>
        </w:num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合同履行</w:t>
      </w:r>
    </w:p>
    <w:p w14:paraId="602B6451">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6.1 甲乙双方应当按照</w:t>
      </w:r>
      <w:r>
        <w:rPr>
          <w:rFonts w:hint="eastAsia" w:ascii="宋体" w:hAnsi="宋体" w:cs="宋体"/>
          <w:b/>
          <w:bCs/>
          <w:color w:val="auto"/>
          <w:szCs w:val="21"/>
          <w:highlight w:val="none"/>
        </w:rPr>
        <w:t>【政府采购合同专用条款】</w:t>
      </w:r>
      <w:r>
        <w:rPr>
          <w:rFonts w:hint="eastAsia" w:ascii="宋体" w:hAnsi="宋体"/>
          <w:color w:val="auto"/>
          <w:szCs w:val="21"/>
          <w:highlight w:val="none"/>
        </w:rPr>
        <w:t>约定顺序履行合同义务；如果没有先后顺序的，应当同时履行。</w:t>
      </w:r>
    </w:p>
    <w:p w14:paraId="0D20F37E">
      <w:pPr>
        <w:autoSpaceDE w:val="0"/>
        <w:autoSpaceDN w:val="0"/>
        <w:adjustRightInd w:val="0"/>
        <w:snapToGrid w:val="0"/>
        <w:spacing w:line="360" w:lineRule="auto"/>
        <w:ind w:firstLine="420" w:firstLineChars="200"/>
        <w:jc w:val="left"/>
        <w:rPr>
          <w:rFonts w:ascii="Calibri" w:hAnsi="Calibri"/>
          <w:color w:val="auto"/>
          <w:szCs w:val="20"/>
          <w:highlight w:val="none"/>
        </w:rPr>
      </w:pPr>
      <w:r>
        <w:rPr>
          <w:rFonts w:hint="eastAsia" w:ascii="宋体" w:hAnsi="宋体"/>
          <w:color w:val="auto"/>
          <w:szCs w:val="21"/>
          <w:highlight w:val="none"/>
        </w:rPr>
        <w:t>6.2 甲乙双方按照合同约定顺序履行合同义务时，应当先履行一方未履行的，后履行一方有权拒绝其履行请求。先履行一方履行不符合约定的，后履行一方有权拒绝其相应的履行请求。</w:t>
      </w:r>
    </w:p>
    <w:p w14:paraId="2E4565DD">
      <w:p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7. 货物包装、运输、保险和交付要求</w:t>
      </w:r>
    </w:p>
    <w:p w14:paraId="6A2320D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7.1 本合同</w:t>
      </w:r>
      <w:r>
        <w:rPr>
          <w:rFonts w:hint="eastAsia" w:ascii="宋体" w:hAnsi="宋体"/>
          <w:bCs/>
          <w:color w:val="auto"/>
          <w:szCs w:val="21"/>
          <w:highlight w:val="none"/>
        </w:rPr>
        <w:t>涉及商品包装、快递包装的，</w:t>
      </w:r>
      <w:r>
        <w:rPr>
          <w:rFonts w:hint="eastAsia" w:ascii="宋体" w:hAnsi="宋体"/>
          <w:color w:val="auto"/>
          <w:szCs w:val="21"/>
          <w:highlight w:val="none"/>
        </w:rPr>
        <w:t>除</w:t>
      </w:r>
      <w:r>
        <w:rPr>
          <w:rFonts w:hint="eastAsia" w:ascii="宋体" w:hAnsi="宋体"/>
          <w:b/>
          <w:color w:val="auto"/>
          <w:szCs w:val="21"/>
          <w:highlight w:val="none"/>
        </w:rPr>
        <w:t>【政府采购合同专用条款】</w:t>
      </w:r>
      <w:r>
        <w:rPr>
          <w:rFonts w:hint="eastAsia" w:ascii="宋体" w:hAnsi="宋体"/>
          <w:bCs/>
          <w:color w:val="auto"/>
          <w:szCs w:val="21"/>
          <w:highlight w:val="none"/>
        </w:rPr>
        <w:t>另有约定外，</w:t>
      </w:r>
      <w:r>
        <w:rPr>
          <w:rFonts w:hint="eastAsia" w:ascii="宋体" w:hAnsi="宋体"/>
          <w:color w:val="auto"/>
          <w:szCs w:val="21"/>
          <w:highlight w:val="none"/>
        </w:rPr>
        <w:t>包装应适应远距离运输、防潮、防震、防锈和防野蛮装卸等要求，确保货物安全无损地运抵</w:t>
      </w:r>
      <w:r>
        <w:rPr>
          <w:rFonts w:hint="eastAsia" w:ascii="宋体" w:hAnsi="宋体"/>
          <w:b/>
          <w:color w:val="auto"/>
          <w:szCs w:val="21"/>
          <w:highlight w:val="none"/>
        </w:rPr>
        <w:t>【政府采购合同专用条款】</w:t>
      </w:r>
      <w:r>
        <w:rPr>
          <w:rFonts w:hint="eastAsia" w:ascii="宋体" w:hAnsi="宋体"/>
          <w:bCs/>
          <w:color w:val="auto"/>
          <w:szCs w:val="21"/>
          <w:highlight w:val="none"/>
        </w:rPr>
        <w:t>约定的</w:t>
      </w:r>
      <w:r>
        <w:rPr>
          <w:rFonts w:hint="eastAsia" w:ascii="宋体" w:hAnsi="宋体"/>
          <w:color w:val="auto"/>
          <w:szCs w:val="21"/>
          <w:highlight w:val="none"/>
        </w:rPr>
        <w:t>指定现场。</w:t>
      </w:r>
    </w:p>
    <w:p w14:paraId="152B3795">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7.2 除</w:t>
      </w:r>
      <w:r>
        <w:rPr>
          <w:rFonts w:hint="eastAsia" w:ascii="宋体" w:hAnsi="宋体"/>
          <w:b/>
          <w:color w:val="auto"/>
          <w:szCs w:val="21"/>
          <w:highlight w:val="none"/>
        </w:rPr>
        <w:t>【政府采购合同专用条款】</w:t>
      </w:r>
      <w:r>
        <w:rPr>
          <w:rFonts w:hint="eastAsia" w:ascii="宋体" w:hAnsi="宋体"/>
          <w:bCs/>
          <w:color w:val="auto"/>
          <w:szCs w:val="21"/>
          <w:highlight w:val="none"/>
        </w:rPr>
        <w:t>另有约定外，</w:t>
      </w:r>
      <w:r>
        <w:rPr>
          <w:rFonts w:hint="eastAsia" w:ascii="宋体" w:hAnsi="宋体"/>
          <w:color w:val="auto"/>
          <w:szCs w:val="21"/>
          <w:highlight w:val="none"/>
        </w:rPr>
        <w:t>乙方负责办理将货物运抵本合同规定的交货地点，并装卸、交付至甲方的一切运输事项，相关费用应包含在合同价款中。</w:t>
      </w:r>
    </w:p>
    <w:p w14:paraId="5638864D">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7.3 货物保险要求按</w:t>
      </w:r>
      <w:r>
        <w:rPr>
          <w:rFonts w:hint="eastAsia" w:ascii="宋体" w:hAnsi="宋体"/>
          <w:b/>
          <w:color w:val="auto"/>
          <w:szCs w:val="21"/>
          <w:highlight w:val="none"/>
        </w:rPr>
        <w:t>【政府采购合同专用条款】</w:t>
      </w:r>
      <w:r>
        <w:rPr>
          <w:rFonts w:hint="eastAsia" w:ascii="宋体" w:hAnsi="宋体"/>
          <w:bCs/>
          <w:color w:val="auto"/>
          <w:szCs w:val="21"/>
          <w:highlight w:val="none"/>
        </w:rPr>
        <w:t>规定执行</w:t>
      </w:r>
      <w:r>
        <w:rPr>
          <w:rFonts w:hint="eastAsia" w:ascii="宋体" w:hAnsi="宋体"/>
          <w:color w:val="auto"/>
          <w:szCs w:val="21"/>
          <w:highlight w:val="none"/>
        </w:rPr>
        <w:t>。</w:t>
      </w:r>
    </w:p>
    <w:p w14:paraId="201AFF5A">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58DEC53C">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7.5 </w:t>
      </w:r>
      <w:r>
        <w:rPr>
          <w:rFonts w:hint="eastAsia" w:ascii="宋体" w:hAnsi="宋体" w:cs="宋体"/>
          <w:color w:val="auto"/>
          <w:szCs w:val="21"/>
          <w:highlight w:val="none"/>
        </w:rPr>
        <w:t>乙方在运输到达之前应提前通知甲方，并提示货物运输装卸的注意事项，甲方配合乙方做好货物的接收工作。</w:t>
      </w:r>
    </w:p>
    <w:p w14:paraId="3182E948">
      <w:pPr>
        <w:pStyle w:val="17"/>
        <w:spacing w:line="360" w:lineRule="auto"/>
        <w:ind w:firstLine="420"/>
        <w:rPr>
          <w:color w:val="auto"/>
          <w:sz w:val="21"/>
          <w:highlight w:val="none"/>
        </w:rPr>
      </w:pPr>
      <w:r>
        <w:rPr>
          <w:rFonts w:hint="eastAsia" w:ascii="宋体" w:hAnsi="宋体" w:eastAsia="宋体" w:cs="Times New Roman"/>
          <w:color w:val="auto"/>
          <w:kern w:val="2"/>
          <w:sz w:val="21"/>
          <w:highlight w:val="none"/>
        </w:rPr>
        <w:t>7.6 如因包装、运输问题导致货物损毁、丢失或者品质下降，甲方有权要求降价、换货、拒收部分或整批货物，由此产生的费用和损失，均由乙方承担。</w:t>
      </w:r>
    </w:p>
    <w:p w14:paraId="7FA7C74A">
      <w:pPr>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 xml:space="preserve">8. </w:t>
      </w:r>
      <w:r>
        <w:rPr>
          <w:rFonts w:hint="eastAsia" w:ascii="宋体" w:hAnsi="宋体"/>
          <w:b/>
          <w:color w:val="auto"/>
          <w:sz w:val="24"/>
          <w:szCs w:val="20"/>
          <w:highlight w:val="none"/>
        </w:rPr>
        <w:t>质量标准和保证</w:t>
      </w:r>
    </w:p>
    <w:p w14:paraId="1F4DC0FF">
      <w:pPr>
        <w:adjustRightInd w:val="0"/>
        <w:snapToGrid w:val="0"/>
        <w:spacing w:line="360" w:lineRule="auto"/>
        <w:ind w:firstLine="400" w:firstLineChars="200"/>
        <w:jc w:val="left"/>
        <w:rPr>
          <w:rFonts w:ascii="宋体" w:hAnsi="宋体"/>
          <w:b/>
          <w:color w:val="auto"/>
          <w:kern w:val="0"/>
          <w:sz w:val="20"/>
          <w:highlight w:val="none"/>
        </w:rPr>
      </w:pPr>
      <w:r>
        <w:rPr>
          <w:rFonts w:hint="eastAsia" w:ascii="宋体" w:hAnsi="宋体"/>
          <w:color w:val="auto"/>
          <w:kern w:val="0"/>
          <w:sz w:val="20"/>
          <w:highlight w:val="none"/>
        </w:rPr>
        <w:t>8.1 质量标准</w:t>
      </w:r>
    </w:p>
    <w:p w14:paraId="56ABB48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（1）本合同下提供的货物应符合合同</w:t>
      </w:r>
      <w:r>
        <w:rPr>
          <w:rFonts w:hint="eastAsia" w:ascii="宋体" w:hAnsi="宋体" w:cs="宋体"/>
          <w:color w:val="auto"/>
          <w:szCs w:val="21"/>
          <w:highlight w:val="none"/>
        </w:rPr>
        <w:t>约定的</w:t>
      </w:r>
      <w:r>
        <w:rPr>
          <w:rFonts w:hint="eastAsia" w:ascii="宋体" w:hAnsi="宋体" w:cs="宋体"/>
          <w:color w:val="auto"/>
          <w:szCs w:val="21"/>
          <w:highlight w:val="none"/>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1FBA6806">
      <w:pPr>
        <w:adjustRightInd w:val="0"/>
        <w:snapToGrid w:val="0"/>
        <w:spacing w:line="360" w:lineRule="auto"/>
        <w:ind w:firstLine="400" w:firstLineChars="200"/>
        <w:jc w:val="left"/>
        <w:rPr>
          <w:rFonts w:ascii="宋体" w:hAnsi="宋体"/>
          <w:color w:val="auto"/>
          <w:kern w:val="0"/>
          <w:sz w:val="20"/>
          <w:highlight w:val="none"/>
        </w:rPr>
      </w:pPr>
      <w:r>
        <w:rPr>
          <w:rFonts w:hint="eastAsia" w:ascii="宋体" w:hAnsi="宋体"/>
          <w:color w:val="auto"/>
          <w:kern w:val="0"/>
          <w:sz w:val="20"/>
          <w:highlight w:val="none"/>
        </w:rPr>
        <w:t>（2）采用中华人民共和国法定计量单位。</w:t>
      </w:r>
    </w:p>
    <w:p w14:paraId="3CA8A2EA">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（3）乙方所提供的货物应符合国家有关安全、环保、卫生的规定。</w:t>
      </w:r>
    </w:p>
    <w:p w14:paraId="2ADA6F5B">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（4）乙方应向甲方提交所提供货物的技术文件，包括相应的中文技术文件，如：产品目录、图纸、操作手册、使用说明、维护手册或服务指南等。上述文件应包装好随货物一同发运。</w:t>
      </w:r>
    </w:p>
    <w:p w14:paraId="7EDEBBA1">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8.2 保证</w:t>
      </w:r>
    </w:p>
    <w:p w14:paraId="0A4DCD6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（1）乙方应保证提供的货物完全符合合同规定的质量、规格和性能要求。乙方应保证货物在正确安装、正常使用和保养条件下，</w:t>
      </w:r>
      <w:r>
        <w:rPr>
          <w:rFonts w:hint="eastAsia" w:ascii="宋体" w:hAnsi="宋体" w:cs="宋体"/>
          <w:color w:val="auto"/>
          <w:szCs w:val="21"/>
          <w:highlight w:val="none"/>
        </w:rPr>
        <w:t>在其使用寿命期内具备合同约定的性能</w:t>
      </w:r>
      <w:r>
        <w:rPr>
          <w:rFonts w:hint="eastAsia" w:ascii="宋体" w:hAnsi="宋体"/>
          <w:color w:val="auto"/>
          <w:szCs w:val="21"/>
          <w:highlight w:val="none"/>
        </w:rPr>
        <w:t>。存在质量保证期的，货物最终交付验收合格后在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规定或乙方书面承诺（两者以较长的为准）的质量保证期内，本保证保持有效。</w:t>
      </w:r>
    </w:p>
    <w:p w14:paraId="03BA535B">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7A131F0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228675B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auto"/>
          <w:szCs w:val="21"/>
          <w:highlight w:val="none"/>
        </w:rPr>
        <w:t>5</w:t>
      </w:r>
      <w:r>
        <w:rPr>
          <w:rFonts w:hint="eastAsia" w:ascii="宋体" w:hAnsi="宋体"/>
          <w:color w:val="auto"/>
          <w:szCs w:val="21"/>
          <w:highlight w:val="none"/>
        </w:rPr>
        <w:t>.1条规定以书面形式</w:t>
      </w:r>
      <w:r>
        <w:rPr>
          <w:rFonts w:hint="eastAsia" w:ascii="宋体" w:hAnsi="宋体"/>
          <w:color w:val="auto"/>
          <w:szCs w:val="21"/>
          <w:highlight w:val="none"/>
        </w:rPr>
        <w:t>追究</w:t>
      </w:r>
      <w:r>
        <w:rPr>
          <w:rFonts w:hint="eastAsia" w:ascii="宋体" w:hAnsi="宋体"/>
          <w:color w:val="auto"/>
          <w:szCs w:val="21"/>
          <w:highlight w:val="none"/>
        </w:rPr>
        <w:t>乙方</w:t>
      </w:r>
      <w:r>
        <w:rPr>
          <w:rFonts w:hint="eastAsia" w:ascii="宋体" w:hAnsi="宋体"/>
          <w:color w:val="auto"/>
          <w:szCs w:val="21"/>
          <w:highlight w:val="none"/>
        </w:rPr>
        <w:t>的违约责任</w:t>
      </w:r>
      <w:r>
        <w:rPr>
          <w:rFonts w:hint="eastAsia" w:ascii="宋体" w:hAnsi="宋体"/>
          <w:color w:val="auto"/>
          <w:szCs w:val="21"/>
          <w:highlight w:val="none"/>
        </w:rPr>
        <w:t>。</w:t>
      </w:r>
    </w:p>
    <w:p w14:paraId="0A4F9B38">
      <w:pPr>
        <w:adjustRightInd w:val="0"/>
        <w:snapToGrid w:val="0"/>
        <w:spacing w:line="360" w:lineRule="auto"/>
        <w:ind w:firstLine="420" w:firstLineChars="200"/>
        <w:jc w:val="left"/>
        <w:rPr>
          <w:rFonts w:ascii="Calibri" w:hAnsi="Calibri"/>
          <w:color w:val="auto"/>
          <w:szCs w:val="20"/>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（5）乙方在约定的时间内未能弥补缺陷，甲方可采取必要的补救措施，但其风险和费用将由乙方承担，甲方根据合同约定对乙方行使的其他权利不受影响。</w:t>
      </w:r>
    </w:p>
    <w:p w14:paraId="1E626559">
      <w:p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9</w:t>
      </w:r>
      <w:r>
        <w:rPr>
          <w:rFonts w:hint="eastAsia" w:ascii="宋体" w:hAnsi="宋体"/>
          <w:b/>
          <w:bCs/>
          <w:color w:val="auto"/>
          <w:sz w:val="24"/>
          <w:szCs w:val="20"/>
          <w:highlight w:val="none"/>
        </w:rPr>
        <w:t>.权利瑕疵担保</w:t>
      </w:r>
    </w:p>
    <w:p w14:paraId="497ED7C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9.1 乙方保证对其出售的货物享有合法的权利。</w:t>
      </w:r>
    </w:p>
    <w:p w14:paraId="78ED38E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9.2 </w:t>
      </w:r>
      <w:r>
        <w:rPr>
          <w:rFonts w:hint="eastAsia" w:ascii="宋体" w:hAnsi="宋体" w:cs="宋体"/>
          <w:color w:val="auto"/>
          <w:szCs w:val="15"/>
          <w:highlight w:val="none"/>
        </w:rPr>
        <w:t>乙方保证在交付的货物上不存在抵押权等担保物权。</w:t>
      </w:r>
    </w:p>
    <w:p w14:paraId="4983CBE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9.3 如甲方使用上述货物构成对第三人侵权的，则由乙方承担全部责任。</w:t>
      </w:r>
    </w:p>
    <w:p w14:paraId="13D074BE">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10. 知识产权保护</w:t>
      </w:r>
    </w:p>
    <w:p w14:paraId="77A72D5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10.1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9" w:name="_Hlk163047038"/>
      <w:r>
        <w:rPr>
          <w:rFonts w:hint="eastAsia" w:ascii="宋体" w:hAnsi="宋体" w:cs="宋体"/>
          <w:color w:val="auto"/>
          <w:szCs w:val="15"/>
          <w:highlight w:val="none"/>
        </w:rPr>
        <w:t>因违反前述约定对第三人构成侵权的，应当由乙方向第三人承担法律责任；甲方依法向第三人赔偿后，有权向乙方追偿。甲方有其他损失的，乙方应当赔偿</w:t>
      </w:r>
      <w:bookmarkEnd w:id="9"/>
      <w:r>
        <w:rPr>
          <w:rFonts w:hint="eastAsia" w:ascii="宋体" w:hAnsi="宋体"/>
          <w:color w:val="auto"/>
          <w:szCs w:val="21"/>
          <w:highlight w:val="none"/>
        </w:rPr>
        <w:t>。</w:t>
      </w:r>
    </w:p>
    <w:p w14:paraId="4AE610D4">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11. 保密义务</w:t>
      </w:r>
    </w:p>
    <w:p w14:paraId="547F71C2">
      <w:pPr>
        <w:autoSpaceDE w:val="0"/>
        <w:autoSpaceDN w:val="0"/>
        <w:adjustRightInd w:val="0"/>
        <w:snapToGrid w:val="0"/>
        <w:spacing w:line="360" w:lineRule="auto"/>
        <w:ind w:firstLine="420" w:firstLineChars="200"/>
        <w:jc w:val="left"/>
        <w:rPr>
          <w:rFonts w:ascii="宋体" w:hAnsi="宋体" w:cs="宋体"/>
          <w:color w:val="auto"/>
          <w:szCs w:val="15"/>
          <w:highlight w:val="none"/>
        </w:rPr>
      </w:pPr>
      <w:r>
        <w:rPr>
          <w:rFonts w:hint="eastAsia" w:ascii="宋体" w:hAnsi="宋体" w:cs="宋体"/>
          <w:color w:val="auto"/>
          <w:szCs w:val="15"/>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Cs w:val="15"/>
          <w:highlight w:val="none"/>
        </w:rPr>
        <w:t>【政府采购合同专用条款】</w:t>
      </w:r>
      <w:r>
        <w:rPr>
          <w:rFonts w:hint="eastAsia" w:ascii="宋体" w:hAnsi="宋体" w:cs="宋体"/>
          <w:color w:val="auto"/>
          <w:szCs w:val="15"/>
          <w:highlight w:val="none"/>
        </w:rPr>
        <w:t>中约定。</w:t>
      </w:r>
    </w:p>
    <w:p w14:paraId="1EBEF353">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12. 合同价款支付</w:t>
      </w:r>
    </w:p>
    <w:p w14:paraId="07E01C29">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12.1 合同价款支付按照国库集中支付制度及财政管理相关规定执行。</w:t>
      </w:r>
    </w:p>
    <w:p w14:paraId="66E2A775">
      <w:pPr>
        <w:pStyle w:val="2"/>
        <w:spacing w:before="0" w:after="0" w:line="360" w:lineRule="auto"/>
        <w:ind w:firstLine="420" w:firstLineChars="200"/>
        <w:rPr>
          <w:rFonts w:eastAsia="宋体"/>
          <w:color w:val="auto"/>
          <w:highlight w:val="none"/>
        </w:rPr>
      </w:pPr>
      <w:r>
        <w:rPr>
          <w:rFonts w:hint="eastAsia" w:ascii="宋体" w:hAnsi="宋体"/>
          <w:b w:val="0"/>
          <w:bCs w:val="0"/>
          <w:color w:val="auto"/>
          <w:sz w:val="21"/>
          <w:szCs w:val="21"/>
          <w:highlight w:val="none"/>
        </w:rPr>
        <w:t xml:space="preserve">12.2 </w:t>
      </w:r>
      <w:r>
        <w:rPr>
          <w:rFonts w:hint="eastAsia" w:ascii="宋体" w:hAnsi="宋体" w:eastAsia="宋体"/>
          <w:b w:val="0"/>
          <w:bCs w:val="0"/>
          <w:color w:val="auto"/>
          <w:sz w:val="21"/>
          <w:szCs w:val="21"/>
          <w:highlight w:val="none"/>
        </w:rPr>
        <w:t>对于满足合同约定支付条件的，甲方原则上应当自收到发票后10个工作日内将资金支付到合同约定的</w:t>
      </w:r>
      <w:r>
        <w:rPr>
          <w:rFonts w:hint="eastAsia" w:ascii="宋体" w:hAnsi="宋体"/>
          <w:b w:val="0"/>
          <w:bCs w:val="0"/>
          <w:color w:val="auto"/>
          <w:sz w:val="21"/>
          <w:szCs w:val="21"/>
          <w:highlight w:val="none"/>
        </w:rPr>
        <w:t>乙方</w:t>
      </w:r>
      <w:r>
        <w:rPr>
          <w:rFonts w:hint="eastAsia" w:ascii="宋体" w:hAnsi="宋体" w:eastAsia="宋体"/>
          <w:b w:val="0"/>
          <w:bCs w:val="0"/>
          <w:color w:val="auto"/>
          <w:sz w:val="21"/>
          <w:szCs w:val="21"/>
          <w:highlight w:val="none"/>
        </w:rPr>
        <w:t>账户，不得以机构变动、人员更替、政策调整等为由迟延付款，不得将采购文件和合同中未规定的义务作为向乙方付款的条件。具体合同价款支付时间在【</w:t>
      </w:r>
      <w:r>
        <w:rPr>
          <w:rFonts w:hint="eastAsia" w:ascii="宋体" w:hAnsi="宋体" w:eastAsia="宋体"/>
          <w:color w:val="auto"/>
          <w:sz w:val="21"/>
          <w:szCs w:val="21"/>
          <w:highlight w:val="none"/>
        </w:rPr>
        <w:t>政府采购合同专用条款</w:t>
      </w:r>
      <w:r>
        <w:rPr>
          <w:rFonts w:hint="eastAsia" w:ascii="宋体" w:hAnsi="宋体" w:eastAsia="宋体"/>
          <w:b w:val="0"/>
          <w:bCs w:val="0"/>
          <w:color w:val="auto"/>
          <w:sz w:val="21"/>
          <w:szCs w:val="21"/>
          <w:highlight w:val="none"/>
        </w:rPr>
        <w:t>】中</w:t>
      </w:r>
      <w:r>
        <w:rPr>
          <w:rFonts w:hint="eastAsia" w:ascii="宋体" w:hAnsi="宋体"/>
          <w:b w:val="0"/>
          <w:bCs w:val="0"/>
          <w:color w:val="auto"/>
          <w:sz w:val="21"/>
          <w:szCs w:val="21"/>
          <w:highlight w:val="none"/>
        </w:rPr>
        <w:t>约</w:t>
      </w:r>
      <w:r>
        <w:rPr>
          <w:rFonts w:hint="eastAsia" w:ascii="宋体" w:hAnsi="宋体" w:eastAsia="宋体"/>
          <w:b w:val="0"/>
          <w:bCs w:val="0"/>
          <w:color w:val="auto"/>
          <w:sz w:val="21"/>
          <w:szCs w:val="21"/>
          <w:highlight w:val="none"/>
        </w:rPr>
        <w:t>定。</w:t>
      </w:r>
    </w:p>
    <w:p w14:paraId="136FABB2">
      <w:pPr>
        <w:spacing w:line="360" w:lineRule="auto"/>
        <w:rPr>
          <w:rFonts w:ascii="宋体" w:hAnsi="宋体"/>
          <w:b/>
          <w:bCs/>
          <w:color w:val="auto"/>
          <w:sz w:val="24"/>
          <w:szCs w:val="24"/>
          <w:highlight w:val="none"/>
        </w:rPr>
      </w:pPr>
      <w:r>
        <w:rPr>
          <w:rFonts w:hint="eastAsia" w:ascii="宋体" w:hAnsi="宋体"/>
          <w:b/>
          <w:bCs/>
          <w:color w:val="auto"/>
          <w:sz w:val="24"/>
          <w:szCs w:val="24"/>
          <w:highlight w:val="none"/>
        </w:rPr>
        <w:t>13. 履约保证金</w:t>
      </w:r>
    </w:p>
    <w:p w14:paraId="127BBFAA">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13.1 </w:t>
      </w:r>
      <w:r>
        <w:rPr>
          <w:rFonts w:hint="eastAsia" w:ascii="宋体" w:hAnsi="宋体" w:cs="宋体"/>
          <w:color w:val="auto"/>
          <w:szCs w:val="15"/>
          <w:highlight w:val="none"/>
        </w:rPr>
        <w:t>乙方应当以支票、汇票、本票或者金融机构、担保机构出具的保函等非现金形式提交。</w:t>
      </w:r>
    </w:p>
    <w:p w14:paraId="0AC34D19">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13.2 如果乙方出现</w:t>
      </w:r>
      <w:r>
        <w:rPr>
          <w:rFonts w:hint="eastAsia" w:ascii="宋体" w:hAnsi="宋体" w:cs="宋体"/>
          <w:b/>
          <w:bCs/>
          <w:color w:val="auto"/>
          <w:szCs w:val="15"/>
          <w:highlight w:val="none"/>
        </w:rPr>
        <w:t>【政府采购合同专用条款】</w:t>
      </w:r>
      <w:r>
        <w:rPr>
          <w:rFonts w:hint="eastAsia" w:ascii="宋体" w:hAnsi="宋体" w:cs="宋体"/>
          <w:color w:val="auto"/>
          <w:szCs w:val="15"/>
          <w:highlight w:val="none"/>
        </w:rPr>
        <w:t>约定情形的</w:t>
      </w:r>
      <w:r>
        <w:rPr>
          <w:rFonts w:hint="eastAsia" w:ascii="宋体" w:hAnsi="宋体"/>
          <w:color w:val="auto"/>
          <w:szCs w:val="21"/>
          <w:highlight w:val="none"/>
        </w:rPr>
        <w:t>，履约保证金不予退还；如果乙方未能按合同约定全面履行义务，甲方有权从履约保证金中取得补偿或赔偿，且不影响甲方要求乙方承担合同约定的超过履约保证金的违约责任的权利。</w:t>
      </w:r>
    </w:p>
    <w:p w14:paraId="7E9F98F8">
      <w:pPr>
        <w:spacing w:line="360" w:lineRule="auto"/>
        <w:ind w:firstLine="420"/>
        <w:rPr>
          <w:rFonts w:ascii="Calibri" w:hAnsi="Calibri"/>
          <w:color w:val="auto"/>
          <w:szCs w:val="20"/>
          <w:highlight w:val="none"/>
        </w:rPr>
      </w:pPr>
      <w:r>
        <w:rPr>
          <w:rFonts w:hint="eastAsia" w:ascii="宋体" w:hAnsi="宋体"/>
          <w:color w:val="auto"/>
          <w:szCs w:val="21"/>
          <w:highlight w:val="none"/>
        </w:rPr>
        <w:t>13.3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30937912">
      <w:p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bCs/>
          <w:color w:val="auto"/>
          <w:sz w:val="24"/>
          <w:szCs w:val="20"/>
          <w:highlight w:val="none"/>
        </w:rPr>
        <w:t xml:space="preserve">14. </w:t>
      </w:r>
      <w:r>
        <w:rPr>
          <w:rFonts w:hint="eastAsia" w:ascii="Calibri" w:hAnsi="Calibri"/>
          <w:b/>
          <w:color w:val="auto"/>
          <w:sz w:val="24"/>
          <w:szCs w:val="20"/>
          <w:highlight w:val="none"/>
        </w:rPr>
        <w:t>售后</w:t>
      </w:r>
      <w:r>
        <w:rPr>
          <w:rFonts w:hint="eastAsia" w:ascii="宋体" w:hAnsi="宋体"/>
          <w:b/>
          <w:color w:val="auto"/>
          <w:sz w:val="24"/>
          <w:szCs w:val="20"/>
          <w:highlight w:val="none"/>
        </w:rPr>
        <w:t>服务</w:t>
      </w:r>
    </w:p>
    <w:p w14:paraId="075D4020">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14.1 除项目不涉及或采购活动中明确约定无须承担外，乙方还应提供下列服务：</w:t>
      </w:r>
    </w:p>
    <w:p w14:paraId="4115C01A">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6AEFCC24">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5C29BA4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cs="宋体"/>
          <w:b/>
          <w:bCs/>
          <w:color w:val="auto"/>
          <w:szCs w:val="15"/>
          <w:highlight w:val="none"/>
        </w:rPr>
        <w:t>【政府采购合同专用条款】</w:t>
      </w:r>
      <w:r>
        <w:rPr>
          <w:rFonts w:hint="eastAsia" w:ascii="宋体" w:hAnsi="宋体"/>
          <w:color w:val="auto"/>
          <w:szCs w:val="21"/>
          <w:highlight w:val="none"/>
        </w:rPr>
        <w:t>约定的期限内对所有的货物实施运行监督、维修，但前提条件是该服务并不能免除乙方在质量保证期内所承担的义务；</w:t>
      </w:r>
    </w:p>
    <w:p w14:paraId="165B09D9">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（4）在制造商所在地或指定现场就货物的安装、启动、运营、维护、废弃处置等对甲方操作人员进行培训</w:t>
      </w:r>
      <w:r>
        <w:rPr>
          <w:rFonts w:hint="eastAsia" w:ascii="宋体" w:hAnsi="宋体" w:cs="宋体"/>
          <w:color w:val="auto"/>
          <w:szCs w:val="15"/>
          <w:highlight w:val="none"/>
        </w:rPr>
        <w:t>；</w:t>
      </w:r>
    </w:p>
    <w:p w14:paraId="3BE9DDA1">
      <w:pPr>
        <w:pStyle w:val="17"/>
        <w:spacing w:line="360" w:lineRule="auto"/>
        <w:ind w:firstLine="420"/>
        <w:rPr>
          <w:rFonts w:ascii="宋体" w:hAnsi="宋体" w:eastAsia="宋体" w:cs="宋体"/>
          <w:color w:val="auto"/>
          <w:sz w:val="21"/>
          <w:highlight w:val="none"/>
        </w:rPr>
      </w:pPr>
      <w:r>
        <w:rPr>
          <w:rFonts w:hint="eastAsia" w:ascii="宋体" w:hAnsi="宋体" w:eastAsia="宋体" w:cs="宋体"/>
          <w:color w:val="auto"/>
          <w:sz w:val="21"/>
          <w:highlight w:val="none"/>
        </w:rPr>
        <w:t>（5）依照法律、行政法规的规定或者按照</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约定，货物在有效使用年限届满后应予回收的，乙方负有自行或者委托第三人对货物予以回收的义务；</w:t>
      </w:r>
    </w:p>
    <w:p w14:paraId="1B24250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（6）</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6FA230BB">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14.2 乙方提供的售后服务的费用已包含在合同价款中，甲方不再另行支付。</w:t>
      </w:r>
    </w:p>
    <w:p w14:paraId="1B757096">
      <w:p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15. 违约责任</w:t>
      </w:r>
    </w:p>
    <w:p w14:paraId="057C83F7">
      <w:pPr>
        <w:adjustRightInd w:val="0"/>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15.1质量瑕疵的违约责任</w:t>
      </w:r>
    </w:p>
    <w:p w14:paraId="4DE081C8">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乙方提供的产品不符合合同约定的质量标准或存在产品质量缺陷，甲方有权要求乙方根据</w:t>
      </w:r>
      <w:r>
        <w:rPr>
          <w:rFonts w:hint="eastAsia" w:ascii="宋体" w:hAnsi="宋体"/>
          <w:b/>
          <w:color w:val="auto"/>
          <w:szCs w:val="21"/>
          <w:highlight w:val="none"/>
        </w:rPr>
        <w:t>【政府采购合同专用条款】</w:t>
      </w:r>
      <w:r>
        <w:rPr>
          <w:rFonts w:hint="eastAsia" w:ascii="宋体" w:hAnsi="宋体"/>
          <w:bCs/>
          <w:color w:val="auto"/>
          <w:szCs w:val="21"/>
          <w:highlight w:val="none"/>
        </w:rPr>
        <w:t>要求</w:t>
      </w:r>
      <w:r>
        <w:rPr>
          <w:rFonts w:hint="eastAsia" w:ascii="宋体" w:hAnsi="宋体"/>
          <w:color w:val="auto"/>
          <w:szCs w:val="21"/>
          <w:highlight w:val="none"/>
        </w:rPr>
        <w:t>及时修理、重作、更换，并承担由此给甲方造成的损失。</w:t>
      </w:r>
    </w:p>
    <w:p w14:paraId="4F868BFE">
      <w:pPr>
        <w:autoSpaceDE w:val="0"/>
        <w:autoSpaceDN w:val="0"/>
        <w:adjustRightInd w:val="0"/>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15.2 迟延交货的违约责任</w:t>
      </w:r>
    </w:p>
    <w:p w14:paraId="56561B63">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3D00067B">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（2）如果乙方没有按照合同规定的时间交货和提供相关服务，甲方有权从货款中扣除误期赔偿费而不影响合同项下的其他补救方法，赔偿费按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规定执行。如果涉及公共利益，且赔偿金额无法弥补公共利益损失，甲方可要求继续履行或者采取其他补救措施。</w:t>
      </w:r>
    </w:p>
    <w:p w14:paraId="634B0FF3">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15.3 迟延支付的违约责任</w:t>
      </w:r>
    </w:p>
    <w:p w14:paraId="2BDB634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1385F3CB">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bCs/>
          <w:color w:val="auto"/>
          <w:szCs w:val="21"/>
          <w:highlight w:val="none"/>
        </w:rPr>
        <w:t>15.4其他违约责任根据项目实际需要按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1DD79F65">
      <w:pPr>
        <w:numPr>
          <w:ilvl w:val="0"/>
          <w:numId w:val="6"/>
        </w:num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合同变更、中止与终止</w:t>
      </w:r>
    </w:p>
    <w:p w14:paraId="3E0A5731">
      <w:pPr>
        <w:adjustRightInd w:val="0"/>
        <w:snapToGrid w:val="0"/>
        <w:spacing w:line="360" w:lineRule="auto"/>
        <w:jc w:val="left"/>
        <w:rPr>
          <w:rFonts w:ascii="宋体" w:hAnsi="宋体"/>
          <w:color w:val="auto"/>
          <w:szCs w:val="21"/>
          <w:highlight w:val="none"/>
        </w:rPr>
      </w:pPr>
      <w:r>
        <w:rPr>
          <w:rFonts w:hint="eastAsia" w:ascii="宋体" w:hAnsi="宋体"/>
          <w:color w:val="auto"/>
          <w:szCs w:val="21"/>
          <w:highlight w:val="none"/>
        </w:rPr>
        <w:t xml:space="preserve">    16.1合同的变更</w:t>
      </w:r>
    </w:p>
    <w:p w14:paraId="762FFB2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政府采购合同履行中，在不改变合同其他条款的前提下，甲方可以在合同价款10%的范围内追加与合同标的相同的货物，并就此与乙方协商一致后签订补充协议。</w:t>
      </w:r>
    </w:p>
    <w:p w14:paraId="0AB62B8F">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16.2合同的中止</w:t>
      </w:r>
    </w:p>
    <w:p w14:paraId="08A6F102">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（1）合同履行过程中因供应商就采购文件、采购过程或结果提起投诉的，甲方认为有必要的，可以中止合同的履行。</w:t>
      </w:r>
    </w:p>
    <w:p w14:paraId="53B79C1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0199723">
      <w:pPr>
        <w:pStyle w:val="17"/>
        <w:spacing w:line="360" w:lineRule="auto"/>
        <w:ind w:firstLine="420"/>
        <w:jc w:val="both"/>
        <w:rPr>
          <w:color w:val="auto"/>
          <w:sz w:val="21"/>
          <w:highlight w:val="none"/>
        </w:rPr>
      </w:pPr>
      <w:r>
        <w:rPr>
          <w:rFonts w:hint="eastAsia" w:ascii="宋体" w:hAnsi="宋体" w:eastAsia="宋体" w:cs="宋体"/>
          <w:color w:val="auto"/>
          <w:sz w:val="21"/>
          <w:highlight w:val="none"/>
        </w:rPr>
        <w:t>（3）乙方分立、合并或者变更住所的，应当及时以书面形式告知甲方。乙方没有及时告知甲方，致使合同履行发生困难的，甲方可以中止合同履行并要求乙方承担由此给甲方造成的损失。</w:t>
      </w:r>
    </w:p>
    <w:p w14:paraId="6687A93B">
      <w:pPr>
        <w:snapToGrid w:val="0"/>
        <w:spacing w:line="360" w:lineRule="auto"/>
        <w:ind w:firstLine="420" w:firstLineChars="200"/>
        <w:jc w:val="left"/>
        <w:rPr>
          <w:rFonts w:ascii="Calibri" w:hAnsi="Calibri"/>
          <w:color w:val="auto"/>
          <w:szCs w:val="20"/>
          <w:highlight w:val="none"/>
        </w:rPr>
      </w:pPr>
      <w:r>
        <w:rPr>
          <w:rFonts w:hint="eastAsia" w:ascii="宋体" w:hAnsi="宋体"/>
          <w:color w:val="auto"/>
          <w:szCs w:val="21"/>
          <w:highlight w:val="none"/>
        </w:rPr>
        <w:t>（4）甲方不得以行政区划调整、政府换届、机构或者职能调整以及相关责任人更替为由中止合同。</w:t>
      </w:r>
    </w:p>
    <w:p w14:paraId="49CDA72F">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16.3合同的终止</w:t>
      </w:r>
    </w:p>
    <w:p w14:paraId="601826E5">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683E82CA">
      <w:pPr>
        <w:snapToGrid w:val="0"/>
        <w:spacing w:line="360" w:lineRule="auto"/>
        <w:ind w:firstLine="420" w:firstLineChars="200"/>
        <w:rPr>
          <w:rFonts w:ascii="宋体" w:hAnsi="宋体" w:cs="宋体"/>
          <w:color w:val="auto"/>
          <w:szCs w:val="21"/>
          <w:highlight w:val="none"/>
        </w:rPr>
      </w:pPr>
      <w:r>
        <w:rPr>
          <w:rFonts w:hint="eastAsia" w:ascii="宋体" w:hAnsi="宋体"/>
          <w:color w:val="auto"/>
          <w:szCs w:val="21"/>
          <w:highlight w:val="none"/>
        </w:rPr>
        <w:t>（2）乙方未按合同约定履行，构成根本性违约的，甲方有权终止合同，</w:t>
      </w:r>
      <w:r>
        <w:rPr>
          <w:rFonts w:hint="eastAsia" w:ascii="宋体" w:hAnsi="宋体" w:cs="宋体"/>
          <w:color w:val="auto"/>
          <w:szCs w:val="21"/>
          <w:highlight w:val="none"/>
        </w:rPr>
        <w:t>并追究乙方的违约责任</w:t>
      </w:r>
      <w:r>
        <w:rPr>
          <w:rFonts w:hint="eastAsia" w:ascii="宋体" w:hAnsi="宋体"/>
          <w:color w:val="auto"/>
          <w:szCs w:val="21"/>
          <w:highlight w:val="none"/>
        </w:rPr>
        <w:t>。</w:t>
      </w:r>
    </w:p>
    <w:p w14:paraId="7C875495">
      <w:pPr>
        <w:pStyle w:val="17"/>
        <w:spacing w:line="360" w:lineRule="auto"/>
        <w:rPr>
          <w:rFonts w:ascii="宋体" w:hAnsi="宋体"/>
          <w:color w:val="auto"/>
          <w:highlight w:val="none"/>
        </w:rPr>
      </w:pPr>
      <w:r>
        <w:rPr>
          <w:rFonts w:hint="eastAsia" w:ascii="宋体" w:hAnsi="宋体"/>
          <w:color w:val="auto"/>
          <w:highlight w:val="none"/>
        </w:rPr>
        <w:t xml:space="preserve">16.4 </w:t>
      </w:r>
      <w:r>
        <w:rPr>
          <w:rFonts w:hint="eastAsia" w:ascii="宋体" w:hAnsi="宋体" w:eastAsia="宋体" w:cs="Times New Roman"/>
          <w:color w:val="auto"/>
          <w:kern w:val="2"/>
          <w:sz w:val="21"/>
          <w:highlight w:val="none"/>
        </w:rPr>
        <w:t>涉及国家利益、社会公共利益的情形</w:t>
      </w:r>
    </w:p>
    <w:p w14:paraId="6DCB727E">
      <w:pPr>
        <w:pStyle w:val="17"/>
        <w:spacing w:line="360" w:lineRule="auto"/>
        <w:ind w:firstLine="420"/>
        <w:jc w:val="both"/>
        <w:rPr>
          <w:color w:val="auto"/>
          <w:sz w:val="21"/>
          <w:highlight w:val="none"/>
        </w:rPr>
      </w:pPr>
      <w:r>
        <w:rPr>
          <w:rFonts w:hint="eastAsia" w:ascii="宋体" w:hAnsi="宋体" w:eastAsia="宋体" w:cs="宋体"/>
          <w:color w:val="auto"/>
          <w:sz w:val="21"/>
          <w:highlight w:val="none"/>
        </w:rPr>
        <w:t>政府采购合同继续履行将损害国家利益和社会公共利益的，双方当事人应当变更、中止或者终止合同。有过错的一方应当承担赔偿责任，双方都有过错的，各自承担相应的责任。</w:t>
      </w:r>
    </w:p>
    <w:p w14:paraId="27D1A7DA">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17. 合同分包</w:t>
      </w:r>
    </w:p>
    <w:p w14:paraId="0638EEA7">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17.1 乙方不得将合同转包给其他供应商。涉及合同分包的，乙方应根据采购文件和投标（响应）文件规定进行合同分包。</w:t>
      </w:r>
    </w:p>
    <w:p w14:paraId="7CBCE846">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17.2 乙方执行政府采购政策向中小企业依法分包的，乙方应当按采购文件和投标（响应）文件签订分包意向协议，分包意向协议属于本合同组成部分。</w:t>
      </w:r>
    </w:p>
    <w:p w14:paraId="2DCBA9DB">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18. 不可抗力</w:t>
      </w:r>
    </w:p>
    <w:p w14:paraId="37652E48">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18.1 不可抗力是指合同双方不能预见、不能避免且不能克服的客观情况。</w:t>
      </w:r>
    </w:p>
    <w:p w14:paraId="3D43D2BB">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18.2 任何一方对由于不可抗力造成的部分或全部不能履行合同不承担违约责任。但迟延履行后发生不可抗力的，不能免除责任。</w:t>
      </w:r>
    </w:p>
    <w:p w14:paraId="12B1AC6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DEA4BCA">
      <w:pPr>
        <w:autoSpaceDE w:val="0"/>
        <w:autoSpaceDN w:val="0"/>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19. 解决争议的方法</w:t>
      </w:r>
    </w:p>
    <w:p w14:paraId="6891323E">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37A7A092">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19.2 选择仲裁的，应在</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中明确仲裁机构及仲裁地；通过诉讼方式解决的，可以在</w:t>
      </w:r>
      <w:r>
        <w:rPr>
          <w:rFonts w:hint="eastAsia" w:ascii="宋体" w:hAnsi="宋体" w:eastAsia="宋体" w:cs="宋体"/>
          <w:b/>
          <w:bCs/>
          <w:color w:val="auto"/>
          <w:sz w:val="21"/>
          <w:highlight w:val="none"/>
        </w:rPr>
        <w:t>【政府采购合同专用条款】</w:t>
      </w:r>
      <w:r>
        <w:rPr>
          <w:rFonts w:hint="eastAsia" w:ascii="宋体" w:hAnsi="宋体" w:eastAsia="宋体" w:cs="宋体"/>
          <w:color w:val="auto"/>
          <w:sz w:val="21"/>
          <w:highlight w:val="none"/>
        </w:rPr>
        <w:t>中进一步约定选择与争议有实际联系的地点的人民法院管辖，但管辖法院的约定不得违反级别管辖和专属管辖的规定。</w:t>
      </w:r>
    </w:p>
    <w:p w14:paraId="7F05A706">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19.3 如甲乙双方有争议的事项不影响合同其他部分的履行，在争议解决期间，合同其他部分应当继续履行。</w:t>
      </w:r>
    </w:p>
    <w:p w14:paraId="3A1F0ED6">
      <w:pPr>
        <w:autoSpaceDE w:val="0"/>
        <w:autoSpaceDN w:val="0"/>
        <w:adjustRightInd w:val="0"/>
        <w:snapToGrid w:val="0"/>
        <w:spacing w:line="360" w:lineRule="auto"/>
        <w:jc w:val="left"/>
        <w:rPr>
          <w:rFonts w:ascii="宋体" w:hAnsi="宋体"/>
          <w:color w:val="auto"/>
          <w:sz w:val="24"/>
          <w:szCs w:val="20"/>
          <w:highlight w:val="none"/>
        </w:rPr>
      </w:pPr>
      <w:r>
        <w:rPr>
          <w:rFonts w:hint="eastAsia" w:ascii="宋体" w:hAnsi="宋体"/>
          <w:b/>
          <w:color w:val="auto"/>
          <w:sz w:val="24"/>
          <w:szCs w:val="20"/>
          <w:highlight w:val="none"/>
        </w:rPr>
        <w:t>20. 政府采购政策</w:t>
      </w:r>
    </w:p>
    <w:p w14:paraId="2D4CC5CF">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 xml:space="preserve">20.1 </w:t>
      </w:r>
      <w:r>
        <w:rPr>
          <w:rFonts w:hint="eastAsia" w:ascii="宋体" w:hAnsi="宋体" w:cs="宋体"/>
          <w:color w:val="auto"/>
          <w:szCs w:val="20"/>
          <w:highlight w:val="none"/>
          <w:lang w:val="en-GB"/>
        </w:rPr>
        <w:t>本合同应当按照规定执行政府采购政策。</w:t>
      </w:r>
    </w:p>
    <w:p w14:paraId="7E17817E">
      <w:pPr>
        <w:autoSpaceDE w:val="0"/>
        <w:autoSpaceDN w:val="0"/>
        <w:adjustRightInd w:val="0"/>
        <w:snapToGrid w:val="0"/>
        <w:spacing w:line="360" w:lineRule="auto"/>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rPr>
        <w:t>0.2 本合同依法执行政府采购政策的方式和内容，属于合同履约验收的范围。</w:t>
      </w:r>
      <w:r>
        <w:rPr>
          <w:rFonts w:hint="eastAsia" w:ascii="宋体" w:hAnsi="宋体" w:cs="宋体"/>
          <w:color w:val="auto"/>
          <w:szCs w:val="20"/>
          <w:highlight w:val="none"/>
        </w:rPr>
        <w:t>甲乙双方</w:t>
      </w:r>
      <w:r>
        <w:rPr>
          <w:rFonts w:hint="eastAsia" w:ascii="宋体" w:hAnsi="宋体" w:cs="宋体"/>
          <w:color w:val="auto"/>
          <w:szCs w:val="20"/>
          <w:highlight w:val="none"/>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799BEB2D">
      <w:pPr>
        <w:spacing w:line="360" w:lineRule="auto"/>
        <w:ind w:firstLine="420" w:firstLineChars="200"/>
        <w:rPr>
          <w:rFonts w:ascii="Calibri" w:hAnsi="Calibri"/>
          <w:color w:val="auto"/>
          <w:szCs w:val="24"/>
          <w:highlight w:val="none"/>
        </w:rPr>
      </w:pPr>
      <w:r>
        <w:rPr>
          <w:rFonts w:ascii="宋体" w:hAnsi="宋体"/>
          <w:color w:val="auto"/>
          <w:szCs w:val="21"/>
          <w:highlight w:val="none"/>
        </w:rPr>
        <w:t>2</w:t>
      </w:r>
      <w:r>
        <w:rPr>
          <w:rFonts w:hint="eastAsia" w:ascii="宋体" w:hAnsi="宋体"/>
          <w:color w:val="auto"/>
          <w:szCs w:val="21"/>
          <w:highlight w:val="none"/>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7682997">
      <w:p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21. 法律适用</w:t>
      </w:r>
    </w:p>
    <w:p w14:paraId="4F0A31DB">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21.1 本合同的订立、生效、解释、履行及与本合同有关的争议解决，均适用法律、行政法规。</w:t>
      </w:r>
    </w:p>
    <w:p w14:paraId="7C9D9336">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21.2 本合同条款与法律、行政法规的强制性规定不一致的，双方当事人应按照法律、行政法规的强制性规定修改本合同的相关条款。</w:t>
      </w:r>
    </w:p>
    <w:p w14:paraId="2B304AF8">
      <w:pPr>
        <w:numPr>
          <w:ilvl w:val="255"/>
          <w:numId w:val="0"/>
        </w:numPr>
        <w:autoSpaceDE w:val="0"/>
        <w:autoSpaceDN w:val="0"/>
        <w:adjustRightInd w:val="0"/>
        <w:snapToGrid w:val="0"/>
        <w:spacing w:line="360" w:lineRule="auto"/>
        <w:jc w:val="left"/>
        <w:rPr>
          <w:rFonts w:ascii="宋体" w:hAnsi="宋体"/>
          <w:b/>
          <w:color w:val="auto"/>
          <w:sz w:val="24"/>
          <w:szCs w:val="20"/>
          <w:highlight w:val="none"/>
        </w:rPr>
      </w:pPr>
      <w:r>
        <w:rPr>
          <w:rFonts w:hint="eastAsia" w:ascii="宋体" w:hAnsi="宋体"/>
          <w:b/>
          <w:color w:val="auto"/>
          <w:sz w:val="24"/>
          <w:szCs w:val="20"/>
          <w:highlight w:val="none"/>
        </w:rPr>
        <w:t>22. 通知</w:t>
      </w:r>
    </w:p>
    <w:p w14:paraId="05B360F8">
      <w:pPr>
        <w:pStyle w:val="17"/>
        <w:spacing w:line="360" w:lineRule="auto"/>
        <w:ind w:firstLine="420"/>
        <w:jc w:val="both"/>
        <w:rPr>
          <w:rFonts w:ascii="宋体" w:hAnsi="宋体" w:eastAsia="宋体" w:cs="宋体"/>
          <w:color w:val="auto"/>
          <w:sz w:val="21"/>
          <w:highlight w:val="none"/>
        </w:rPr>
      </w:pPr>
      <w:r>
        <w:rPr>
          <w:rFonts w:hint="eastAsia" w:ascii="宋体" w:hAnsi="宋体" w:eastAsia="宋体" w:cs="宋体"/>
          <w:color w:val="auto"/>
          <w:sz w:val="21"/>
          <w:highlight w:val="none"/>
        </w:rPr>
        <w:t>22.1 本合同任何一方向对方发出的通知、信件、数据电文等，应当发送至本合同第一部分《政府采购合同协议书》所约定的通讯地址、联系人、联系电话或电子邮箱。</w:t>
      </w:r>
    </w:p>
    <w:p w14:paraId="697E0E31">
      <w:pPr>
        <w:pStyle w:val="17"/>
        <w:spacing w:line="360" w:lineRule="auto"/>
        <w:ind w:firstLine="0" w:firstLineChars="0"/>
        <w:jc w:val="both"/>
        <w:rPr>
          <w:color w:val="auto"/>
          <w:sz w:val="21"/>
          <w:highlight w:val="none"/>
        </w:rPr>
      </w:pPr>
      <w:r>
        <w:rPr>
          <w:rFonts w:hint="eastAsia" w:ascii="宋体" w:hAnsi="宋体" w:eastAsia="宋体" w:cs="宋体"/>
          <w:color w:val="auto"/>
          <w:sz w:val="21"/>
          <w:highlight w:val="none"/>
        </w:rPr>
        <w:t xml:space="preserve">    22.2 一方当事人变更名称、住所、联系人、联系电话或电子邮箱等信息的，应当在变更后3日内及时书面通知对方，对方实际收到变更通知前的送达仍为有效送达。</w:t>
      </w:r>
    </w:p>
    <w:p w14:paraId="58528B37">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22.3本合同一方给另一方的通知均应采用书面形式，传真或快递送到本合同中规定的对方的地址和办理签收手续。</w:t>
      </w:r>
    </w:p>
    <w:p w14:paraId="46C9B77A">
      <w:pPr>
        <w:adjustRightInd w:val="0"/>
        <w:snapToGrid w:val="0"/>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22.4通知以送达之日或通知书中规定的生效之日起生效，两者中以较迟之日为准。</w:t>
      </w:r>
    </w:p>
    <w:p w14:paraId="3CBEEF13">
      <w:pPr>
        <w:numPr>
          <w:ilvl w:val="0"/>
          <w:numId w:val="7"/>
        </w:numPr>
        <w:adjustRightInd w:val="0"/>
        <w:snapToGrid w:val="0"/>
        <w:spacing w:line="360" w:lineRule="auto"/>
        <w:jc w:val="left"/>
        <w:rPr>
          <w:rFonts w:ascii="宋体" w:hAnsi="宋体"/>
          <w:b/>
          <w:bCs/>
          <w:color w:val="auto"/>
          <w:sz w:val="24"/>
          <w:szCs w:val="20"/>
          <w:highlight w:val="none"/>
        </w:rPr>
      </w:pPr>
      <w:r>
        <w:rPr>
          <w:rFonts w:hint="eastAsia" w:ascii="宋体" w:hAnsi="宋体"/>
          <w:b/>
          <w:bCs/>
          <w:color w:val="auto"/>
          <w:sz w:val="24"/>
          <w:szCs w:val="20"/>
          <w:highlight w:val="none"/>
        </w:rPr>
        <w:t>合同未尽事项</w:t>
      </w:r>
    </w:p>
    <w:p w14:paraId="5411C88D">
      <w:pPr>
        <w:adjustRightInd w:val="0"/>
        <w:snapToGrid w:val="0"/>
        <w:spacing w:line="360" w:lineRule="auto"/>
        <w:ind w:firstLine="420" w:firstLineChars="200"/>
        <w:jc w:val="left"/>
        <w:rPr>
          <w:rFonts w:ascii="宋体" w:hAnsi="宋体"/>
          <w:bCs/>
          <w:color w:val="auto"/>
          <w:szCs w:val="21"/>
          <w:highlight w:val="none"/>
        </w:rPr>
      </w:pPr>
      <w:r>
        <w:rPr>
          <w:rFonts w:hint="eastAsia" w:ascii="宋体" w:hAnsi="宋体"/>
          <w:bCs/>
          <w:color w:val="auto"/>
          <w:szCs w:val="21"/>
          <w:highlight w:val="none"/>
        </w:rPr>
        <w:t>23.1合同未尽事项见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4E149ADE">
      <w:pPr>
        <w:adjustRightInd w:val="0"/>
        <w:snapToGrid w:val="0"/>
        <w:spacing w:line="360" w:lineRule="auto"/>
        <w:jc w:val="left"/>
        <w:rPr>
          <w:rFonts w:ascii="黑体" w:hAnsi="华文中宋" w:eastAsia="黑体"/>
          <w:color w:val="auto"/>
          <w:sz w:val="28"/>
          <w:szCs w:val="28"/>
          <w:highlight w:val="none"/>
        </w:rPr>
      </w:pPr>
      <w:r>
        <w:rPr>
          <w:rFonts w:hint="eastAsia" w:ascii="宋体" w:hAnsi="宋体"/>
          <w:bCs/>
          <w:color w:val="auto"/>
          <w:szCs w:val="21"/>
          <w:highlight w:val="none"/>
        </w:rPr>
        <w:t xml:space="preserve">    23.2 合同附件与合同正文具有同等的法律效力。</w:t>
      </w:r>
      <w:bookmarkStart w:id="10" w:name="_Toc20313"/>
    </w:p>
    <w:p w14:paraId="1F4BDABB">
      <w:pPr>
        <w:adjustRightInd w:val="0"/>
        <w:snapToGrid w:val="0"/>
        <w:spacing w:line="360" w:lineRule="auto"/>
        <w:jc w:val="center"/>
        <w:rPr>
          <w:rFonts w:ascii="黑体" w:hAnsi="华文中宋" w:eastAsia="黑体"/>
          <w:color w:val="auto"/>
          <w:sz w:val="28"/>
          <w:szCs w:val="28"/>
          <w:highlight w:val="none"/>
        </w:rPr>
      </w:pPr>
      <w:r>
        <w:rPr>
          <w:rFonts w:hint="eastAsia" w:ascii="黑体" w:hAnsi="华文中宋" w:eastAsia="黑体"/>
          <w:color w:val="auto"/>
          <w:sz w:val="28"/>
          <w:szCs w:val="28"/>
          <w:highlight w:val="none"/>
        </w:rPr>
        <w:br w:type="page"/>
      </w:r>
    </w:p>
    <w:p w14:paraId="12E030CE">
      <w:pPr>
        <w:pStyle w:val="2"/>
        <w:adjustRightInd w:val="0"/>
        <w:snapToGrid w:val="0"/>
        <w:spacing w:before="0" w:after="0" w:line="360" w:lineRule="auto"/>
        <w:jc w:val="center"/>
        <w:rPr>
          <w:rFonts w:ascii="黑体" w:hAnsi="华文中宋"/>
          <w:b w:val="0"/>
          <w:bCs w:val="0"/>
          <w:color w:val="auto"/>
          <w:sz w:val="28"/>
          <w:szCs w:val="28"/>
          <w:highlight w:val="none"/>
        </w:rPr>
      </w:pPr>
      <w:r>
        <w:rPr>
          <w:rFonts w:hint="eastAsia" w:ascii="黑体" w:hAnsi="华文中宋"/>
          <w:b w:val="0"/>
          <w:bCs w:val="0"/>
          <w:color w:val="auto"/>
          <w:sz w:val="28"/>
          <w:szCs w:val="28"/>
          <w:highlight w:val="none"/>
        </w:rPr>
        <w:t>第三节 政府采购合同专用条款</w:t>
      </w:r>
      <w:bookmarkEnd w:id="10"/>
    </w:p>
    <w:tbl>
      <w:tblPr>
        <w:tblStyle w:val="1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0C99F3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B354C8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908A65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第1.2（6）项</w:t>
            </w:r>
          </w:p>
        </w:tc>
        <w:tc>
          <w:tcPr>
            <w:tcW w:w="1742" w:type="dxa"/>
            <w:vAlign w:val="center"/>
          </w:tcPr>
          <w:p w14:paraId="56C40E8E">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联合体具体要求</w:t>
            </w:r>
          </w:p>
        </w:tc>
        <w:tc>
          <w:tcPr>
            <w:tcW w:w="5170" w:type="dxa"/>
            <w:vAlign w:val="center"/>
          </w:tcPr>
          <w:p w14:paraId="0E2115E1">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7E4742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CDA1CF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7808BC9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第1.2（7）项</w:t>
            </w:r>
          </w:p>
        </w:tc>
        <w:tc>
          <w:tcPr>
            <w:tcW w:w="1742" w:type="dxa"/>
            <w:vAlign w:val="center"/>
          </w:tcPr>
          <w:p w14:paraId="73C8567D">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其他术语解释</w:t>
            </w:r>
          </w:p>
        </w:tc>
        <w:tc>
          <w:tcPr>
            <w:tcW w:w="5170" w:type="dxa"/>
            <w:vAlign w:val="center"/>
          </w:tcPr>
          <w:p w14:paraId="0912735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361C82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B6BB8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0688595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第4.4款</w:t>
            </w:r>
          </w:p>
        </w:tc>
        <w:tc>
          <w:tcPr>
            <w:tcW w:w="1742" w:type="dxa"/>
            <w:vAlign w:val="center"/>
          </w:tcPr>
          <w:p w14:paraId="18859A71">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履约验收中甲方提出异议或作出说明的期限</w:t>
            </w:r>
          </w:p>
        </w:tc>
        <w:tc>
          <w:tcPr>
            <w:tcW w:w="5170" w:type="dxa"/>
            <w:vAlign w:val="center"/>
          </w:tcPr>
          <w:p w14:paraId="4F457779">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217F1E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D7046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2A51B15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第4.6款</w:t>
            </w:r>
          </w:p>
        </w:tc>
        <w:tc>
          <w:tcPr>
            <w:tcW w:w="1742" w:type="dxa"/>
            <w:vAlign w:val="center"/>
          </w:tcPr>
          <w:p w14:paraId="1E38E5ED">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约定甲方承担的其他义务和责任</w:t>
            </w:r>
          </w:p>
        </w:tc>
        <w:tc>
          <w:tcPr>
            <w:tcW w:w="5170" w:type="dxa"/>
            <w:vAlign w:val="center"/>
          </w:tcPr>
          <w:p w14:paraId="3B9005A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6C10EB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CFE90D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40C9855E">
            <w:pPr>
              <w:keepNext w:val="0"/>
              <w:keepLines w:val="0"/>
              <w:suppressLineNumbers w:val="0"/>
              <w:snapToGrid w:val="0"/>
              <w:spacing w:before="0" w:beforeAutospacing="0" w:after="0" w:afterAutospacing="0" w:line="360" w:lineRule="auto"/>
              <w:ind w:left="0" w:right="0"/>
              <w:jc w:val="center"/>
              <w:rPr>
                <w:rFonts w:hint="default" w:ascii="Calibri" w:hAnsi="Calibri"/>
                <w:color w:val="auto"/>
                <w:szCs w:val="20"/>
                <w:highlight w:val="none"/>
              </w:rPr>
            </w:pPr>
            <w:r>
              <w:rPr>
                <w:rFonts w:hint="eastAsia" w:ascii="宋体" w:hAnsi="宋体"/>
                <w:color w:val="auto"/>
                <w:szCs w:val="21"/>
                <w:highlight w:val="none"/>
              </w:rPr>
              <w:t>第5.4款</w:t>
            </w:r>
          </w:p>
        </w:tc>
        <w:tc>
          <w:tcPr>
            <w:tcW w:w="1742" w:type="dxa"/>
            <w:vAlign w:val="center"/>
          </w:tcPr>
          <w:p w14:paraId="1CE5B2AF">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约定乙方承担的其他义务和责任</w:t>
            </w:r>
          </w:p>
        </w:tc>
        <w:tc>
          <w:tcPr>
            <w:tcW w:w="5170" w:type="dxa"/>
            <w:vAlign w:val="center"/>
          </w:tcPr>
          <w:p w14:paraId="02D9E04F">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3601FC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A767C84">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2E909D18">
            <w:pPr>
              <w:keepNext w:val="0"/>
              <w:keepLines w:val="0"/>
              <w:suppressLineNumbers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第6.1款</w:t>
            </w:r>
          </w:p>
        </w:tc>
        <w:tc>
          <w:tcPr>
            <w:tcW w:w="1742" w:type="dxa"/>
            <w:vAlign w:val="center"/>
          </w:tcPr>
          <w:p w14:paraId="55CFF885">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履行合同义务的顺序</w:t>
            </w:r>
          </w:p>
        </w:tc>
        <w:tc>
          <w:tcPr>
            <w:tcW w:w="5170" w:type="dxa"/>
            <w:vAlign w:val="center"/>
          </w:tcPr>
          <w:p w14:paraId="58A21C7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2041E6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8E2169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2BA9496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第7.1款</w:t>
            </w:r>
          </w:p>
        </w:tc>
        <w:tc>
          <w:tcPr>
            <w:tcW w:w="1742" w:type="dxa"/>
            <w:vAlign w:val="center"/>
          </w:tcPr>
          <w:p w14:paraId="6AEE21F0">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包装特殊要求</w:t>
            </w:r>
          </w:p>
        </w:tc>
        <w:tc>
          <w:tcPr>
            <w:tcW w:w="5170" w:type="dxa"/>
            <w:vAlign w:val="center"/>
          </w:tcPr>
          <w:p w14:paraId="10A0F6AB">
            <w:pPr>
              <w:keepNext w:val="0"/>
              <w:keepLines w:val="0"/>
              <w:suppressLineNumbers w:val="0"/>
              <w:spacing w:before="0" w:beforeAutospacing="0" w:after="0" w:afterAutospacing="0" w:line="360" w:lineRule="auto"/>
              <w:ind w:left="0" w:right="0"/>
              <w:rPr>
                <w:rFonts w:hint="default" w:ascii="Calibri" w:hAnsi="Calibri"/>
                <w:color w:val="auto"/>
                <w:szCs w:val="20"/>
                <w:highlight w:val="none"/>
              </w:rPr>
            </w:pPr>
          </w:p>
        </w:tc>
      </w:tr>
      <w:tr w14:paraId="2D8A26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679E9739">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p>
        </w:tc>
        <w:tc>
          <w:tcPr>
            <w:tcW w:w="1742" w:type="dxa"/>
            <w:vAlign w:val="center"/>
          </w:tcPr>
          <w:p w14:paraId="32BBD6C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指定现场</w:t>
            </w:r>
          </w:p>
        </w:tc>
        <w:tc>
          <w:tcPr>
            <w:tcW w:w="5170" w:type="dxa"/>
            <w:vAlign w:val="center"/>
          </w:tcPr>
          <w:p w14:paraId="70EC53AE">
            <w:pPr>
              <w:keepNext w:val="0"/>
              <w:keepLines w:val="0"/>
              <w:suppressLineNumbers w:val="0"/>
              <w:spacing w:before="0" w:beforeAutospacing="0" w:after="0" w:afterAutospacing="0" w:line="360" w:lineRule="auto"/>
              <w:ind w:left="0" w:right="0"/>
              <w:rPr>
                <w:rFonts w:hint="default" w:ascii="Calibri" w:hAnsi="Calibri"/>
                <w:color w:val="auto"/>
                <w:szCs w:val="20"/>
                <w:highlight w:val="none"/>
              </w:rPr>
            </w:pPr>
          </w:p>
        </w:tc>
      </w:tr>
      <w:tr w14:paraId="760EA5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B89444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5B06409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第7.2款</w:t>
            </w:r>
          </w:p>
        </w:tc>
        <w:tc>
          <w:tcPr>
            <w:tcW w:w="1742" w:type="dxa"/>
            <w:vAlign w:val="center"/>
          </w:tcPr>
          <w:p w14:paraId="5621F4F0">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运输特殊要求</w:t>
            </w:r>
          </w:p>
        </w:tc>
        <w:tc>
          <w:tcPr>
            <w:tcW w:w="5170" w:type="dxa"/>
            <w:vAlign w:val="center"/>
          </w:tcPr>
          <w:p w14:paraId="5B22FF0C">
            <w:pPr>
              <w:keepNext w:val="0"/>
              <w:keepLines w:val="0"/>
              <w:suppressLineNumbers w:val="0"/>
              <w:spacing w:before="0" w:beforeAutospacing="0" w:after="0" w:afterAutospacing="0" w:line="360" w:lineRule="auto"/>
              <w:ind w:left="0" w:right="0"/>
              <w:rPr>
                <w:rFonts w:hint="default" w:ascii="Calibri" w:hAnsi="Calibri"/>
                <w:color w:val="auto"/>
                <w:szCs w:val="20"/>
                <w:highlight w:val="none"/>
              </w:rPr>
            </w:pPr>
          </w:p>
        </w:tc>
      </w:tr>
      <w:tr w14:paraId="358182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BFCE36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6EFB83E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第7.3款</w:t>
            </w:r>
          </w:p>
        </w:tc>
        <w:tc>
          <w:tcPr>
            <w:tcW w:w="1742" w:type="dxa"/>
            <w:vAlign w:val="center"/>
          </w:tcPr>
          <w:p w14:paraId="69D7B8F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保险要求</w:t>
            </w:r>
          </w:p>
        </w:tc>
        <w:tc>
          <w:tcPr>
            <w:tcW w:w="5170" w:type="dxa"/>
            <w:vAlign w:val="center"/>
          </w:tcPr>
          <w:p w14:paraId="78F3FBED">
            <w:pPr>
              <w:keepNext w:val="0"/>
              <w:keepLines w:val="0"/>
              <w:suppressLineNumbers w:val="0"/>
              <w:spacing w:before="0" w:beforeAutospacing="0" w:after="0" w:afterAutospacing="0" w:line="360" w:lineRule="auto"/>
              <w:ind w:left="0" w:right="0"/>
              <w:rPr>
                <w:rFonts w:hint="default" w:ascii="Calibri" w:hAnsi="Calibri"/>
                <w:color w:val="auto"/>
                <w:szCs w:val="20"/>
                <w:highlight w:val="none"/>
              </w:rPr>
            </w:pPr>
          </w:p>
        </w:tc>
      </w:tr>
      <w:tr w14:paraId="550BAE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EDF69E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013A764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第8.2（1）项</w:t>
            </w:r>
          </w:p>
        </w:tc>
        <w:tc>
          <w:tcPr>
            <w:tcW w:w="1742" w:type="dxa"/>
            <w:vAlign w:val="center"/>
          </w:tcPr>
          <w:p w14:paraId="78614F99">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质量保证期</w:t>
            </w:r>
          </w:p>
        </w:tc>
        <w:tc>
          <w:tcPr>
            <w:tcW w:w="5170" w:type="dxa"/>
            <w:vAlign w:val="center"/>
          </w:tcPr>
          <w:p w14:paraId="487114E4">
            <w:pPr>
              <w:keepNext w:val="0"/>
              <w:keepLines w:val="0"/>
              <w:suppressLineNumbers w:val="0"/>
              <w:autoSpaceDE w:val="0"/>
              <w:autoSpaceDN w:val="0"/>
              <w:adjustRightInd w:val="0"/>
              <w:snapToGrid w:val="0"/>
              <w:spacing w:before="0" w:beforeAutospacing="0" w:after="0" w:afterAutospacing="0" w:line="360" w:lineRule="auto"/>
              <w:ind w:left="0" w:right="0" w:firstLine="420" w:firstLineChars="200"/>
              <w:jc w:val="left"/>
              <w:rPr>
                <w:rFonts w:hint="default" w:ascii="宋体" w:hAnsi="宋体"/>
                <w:color w:val="auto"/>
                <w:szCs w:val="21"/>
                <w:highlight w:val="none"/>
              </w:rPr>
            </w:pPr>
          </w:p>
        </w:tc>
      </w:tr>
      <w:tr w14:paraId="69ED4F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A3D333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222F67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第8.2（3）项</w:t>
            </w:r>
          </w:p>
        </w:tc>
        <w:tc>
          <w:tcPr>
            <w:tcW w:w="1742" w:type="dxa"/>
            <w:vAlign w:val="center"/>
          </w:tcPr>
          <w:p w14:paraId="74EA5E66">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货物质量缺陷</w:t>
            </w:r>
          </w:p>
          <w:p w14:paraId="428BF6F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响应时间</w:t>
            </w:r>
          </w:p>
        </w:tc>
        <w:tc>
          <w:tcPr>
            <w:tcW w:w="5170" w:type="dxa"/>
            <w:vAlign w:val="center"/>
          </w:tcPr>
          <w:p w14:paraId="6430A20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1079BC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8091556">
            <w:pPr>
              <w:keepNext w:val="0"/>
              <w:keepLines w:val="0"/>
              <w:suppressLineNumbers w:val="0"/>
              <w:snapToGrid w:val="0"/>
              <w:spacing w:before="0" w:beforeAutospacing="0" w:after="0" w:afterAutospacing="0" w:line="360" w:lineRule="auto"/>
              <w:ind w:left="0" w:right="0"/>
              <w:jc w:val="center"/>
              <w:rPr>
                <w:rFonts w:hint="default" w:ascii="宋体" w:hAnsi="宋体" w:cs="宋体"/>
                <w:color w:val="auto"/>
                <w:szCs w:val="21"/>
                <w:highlight w:val="none"/>
              </w:rPr>
            </w:pPr>
            <w:r>
              <w:rPr>
                <w:rFonts w:hint="eastAsia" w:ascii="宋体" w:hAnsi="宋体" w:cs="宋体"/>
                <w:color w:val="auto"/>
                <w:szCs w:val="21"/>
                <w:highlight w:val="none"/>
              </w:rPr>
              <w:t>第二节</w:t>
            </w:r>
          </w:p>
          <w:p w14:paraId="685DC991">
            <w:pPr>
              <w:pStyle w:val="17"/>
              <w:keepNext w:val="0"/>
              <w:keepLines w:val="0"/>
              <w:widowControl/>
              <w:suppressLineNumbers w:val="0"/>
              <w:spacing w:before="0" w:beforeAutospacing="0" w:after="0" w:afterAutospacing="0" w:line="360" w:lineRule="auto"/>
              <w:ind w:left="0" w:right="0" w:firstLine="0" w:firstLineChars="0"/>
              <w:jc w:val="center"/>
              <w:rPr>
                <w:rFonts w:hint="default"/>
                <w:color w:val="auto"/>
                <w:highlight w:val="none"/>
              </w:rPr>
            </w:pPr>
            <w:r>
              <w:rPr>
                <w:rFonts w:hint="eastAsia" w:ascii="宋体" w:hAnsi="宋体" w:eastAsia="宋体" w:cs="宋体"/>
                <w:color w:val="auto"/>
                <w:highlight w:val="none"/>
              </w:rPr>
              <w:t>第11.1款</w:t>
            </w:r>
          </w:p>
        </w:tc>
        <w:tc>
          <w:tcPr>
            <w:tcW w:w="1742" w:type="dxa"/>
            <w:vAlign w:val="center"/>
          </w:tcPr>
          <w:p w14:paraId="1924F288">
            <w:pPr>
              <w:keepNext w:val="0"/>
              <w:keepLines w:val="0"/>
              <w:suppressLineNumbers w:val="0"/>
              <w:adjustRightInd w:val="0"/>
              <w:snapToGrid w:val="0"/>
              <w:spacing w:before="0" w:beforeAutospacing="0" w:after="0" w:afterAutospacing="0" w:line="360" w:lineRule="auto"/>
              <w:ind w:left="0" w:right="0"/>
              <w:rPr>
                <w:rFonts w:hint="default" w:ascii="宋体" w:hAnsi="宋体"/>
                <w:color w:val="auto"/>
                <w:szCs w:val="21"/>
                <w:highlight w:val="none"/>
              </w:rPr>
            </w:pPr>
            <w:r>
              <w:rPr>
                <w:rFonts w:hint="eastAsia" w:ascii="宋体" w:hAnsi="宋体"/>
                <w:color w:val="auto"/>
                <w:szCs w:val="21"/>
                <w:highlight w:val="none"/>
              </w:rPr>
              <w:t>其他应当保密的信息</w:t>
            </w:r>
          </w:p>
        </w:tc>
        <w:tc>
          <w:tcPr>
            <w:tcW w:w="5170" w:type="dxa"/>
            <w:vAlign w:val="center"/>
          </w:tcPr>
          <w:p w14:paraId="1A4FD67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5647BB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FA6BD8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5FFBBFB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第12.2款</w:t>
            </w:r>
          </w:p>
        </w:tc>
        <w:tc>
          <w:tcPr>
            <w:tcW w:w="1742" w:type="dxa"/>
            <w:vAlign w:val="center"/>
          </w:tcPr>
          <w:p w14:paraId="5646C0A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合同价款支付时间</w:t>
            </w:r>
          </w:p>
        </w:tc>
        <w:tc>
          <w:tcPr>
            <w:tcW w:w="5170" w:type="dxa"/>
            <w:vAlign w:val="center"/>
          </w:tcPr>
          <w:p w14:paraId="3FB24B85">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71E020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A4D167">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5167F59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第13.2款</w:t>
            </w:r>
          </w:p>
        </w:tc>
        <w:tc>
          <w:tcPr>
            <w:tcW w:w="1742" w:type="dxa"/>
            <w:vAlign w:val="center"/>
          </w:tcPr>
          <w:p w14:paraId="073E3540">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履约保证金不予退还的情形</w:t>
            </w:r>
          </w:p>
        </w:tc>
        <w:tc>
          <w:tcPr>
            <w:tcW w:w="5170" w:type="dxa"/>
            <w:vAlign w:val="center"/>
          </w:tcPr>
          <w:p w14:paraId="4282F2DC">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119B92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1EA60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0F44D29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第13.3款</w:t>
            </w:r>
          </w:p>
        </w:tc>
        <w:tc>
          <w:tcPr>
            <w:tcW w:w="1742" w:type="dxa"/>
            <w:vAlign w:val="center"/>
          </w:tcPr>
          <w:p w14:paraId="1D293C9D">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履约保证金退还时间及逾期退还的违约金</w:t>
            </w:r>
          </w:p>
        </w:tc>
        <w:tc>
          <w:tcPr>
            <w:tcW w:w="5170" w:type="dxa"/>
            <w:vAlign w:val="center"/>
          </w:tcPr>
          <w:p w14:paraId="2068BAB4">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252592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C589EB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BAE2D3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第14.1（3）项</w:t>
            </w:r>
          </w:p>
        </w:tc>
        <w:tc>
          <w:tcPr>
            <w:tcW w:w="1742" w:type="dxa"/>
            <w:vAlign w:val="center"/>
          </w:tcPr>
          <w:p w14:paraId="6C2D20E8">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运行监督、维修期限</w:t>
            </w:r>
          </w:p>
        </w:tc>
        <w:tc>
          <w:tcPr>
            <w:tcW w:w="5170" w:type="dxa"/>
            <w:vAlign w:val="center"/>
          </w:tcPr>
          <w:p w14:paraId="534EFF15">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29E238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B48285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65D83AB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第14.1（5）项</w:t>
            </w:r>
          </w:p>
        </w:tc>
        <w:tc>
          <w:tcPr>
            <w:tcW w:w="1742" w:type="dxa"/>
            <w:vAlign w:val="center"/>
          </w:tcPr>
          <w:p w14:paraId="49BEEFE1">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货物回收的约定</w:t>
            </w:r>
          </w:p>
        </w:tc>
        <w:tc>
          <w:tcPr>
            <w:tcW w:w="5170" w:type="dxa"/>
            <w:vAlign w:val="center"/>
          </w:tcPr>
          <w:p w14:paraId="3E7167B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53C19C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857E51">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70A6E89A">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第14.1（6）项</w:t>
            </w:r>
          </w:p>
        </w:tc>
        <w:tc>
          <w:tcPr>
            <w:tcW w:w="1742" w:type="dxa"/>
            <w:vAlign w:val="center"/>
          </w:tcPr>
          <w:p w14:paraId="28A92118">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乙方提供的其他服务</w:t>
            </w:r>
          </w:p>
        </w:tc>
        <w:tc>
          <w:tcPr>
            <w:tcW w:w="5170" w:type="dxa"/>
            <w:vAlign w:val="center"/>
          </w:tcPr>
          <w:p w14:paraId="2C6F5BC7">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3AC8AB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BC85F9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DA98D9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第15.1款</w:t>
            </w:r>
          </w:p>
        </w:tc>
        <w:tc>
          <w:tcPr>
            <w:tcW w:w="1742" w:type="dxa"/>
            <w:vAlign w:val="center"/>
          </w:tcPr>
          <w:p w14:paraId="5C47FDA0">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修理、重作、更换相关具体规定</w:t>
            </w:r>
          </w:p>
        </w:tc>
        <w:tc>
          <w:tcPr>
            <w:tcW w:w="5170" w:type="dxa"/>
            <w:vAlign w:val="center"/>
          </w:tcPr>
          <w:p w14:paraId="239DB904">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r w14:paraId="5185CF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659D442">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54F94EA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第15.2（2）项</w:t>
            </w:r>
          </w:p>
        </w:tc>
        <w:tc>
          <w:tcPr>
            <w:tcW w:w="1742" w:type="dxa"/>
            <w:vAlign w:val="center"/>
          </w:tcPr>
          <w:p w14:paraId="373F3DD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迟延交货赔偿费</w:t>
            </w:r>
          </w:p>
        </w:tc>
        <w:tc>
          <w:tcPr>
            <w:tcW w:w="5170" w:type="dxa"/>
            <w:vAlign w:val="center"/>
          </w:tcPr>
          <w:p w14:paraId="02B1D89C">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u w:val="single"/>
              </w:rPr>
            </w:pPr>
          </w:p>
        </w:tc>
      </w:tr>
      <w:tr w14:paraId="313780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651DB9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18A0A2C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第15.3款</w:t>
            </w:r>
          </w:p>
        </w:tc>
        <w:tc>
          <w:tcPr>
            <w:tcW w:w="1742" w:type="dxa"/>
            <w:vAlign w:val="center"/>
          </w:tcPr>
          <w:p w14:paraId="6C242386">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逾期付款利息</w:t>
            </w:r>
          </w:p>
        </w:tc>
        <w:tc>
          <w:tcPr>
            <w:tcW w:w="5170" w:type="dxa"/>
            <w:vAlign w:val="center"/>
          </w:tcPr>
          <w:p w14:paraId="4C8B2B70">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u w:val="single"/>
              </w:rPr>
            </w:pPr>
          </w:p>
        </w:tc>
      </w:tr>
      <w:tr w14:paraId="1D8328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5A9BA73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6577E38F">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第15.4款</w:t>
            </w:r>
          </w:p>
        </w:tc>
        <w:tc>
          <w:tcPr>
            <w:tcW w:w="1742" w:type="dxa"/>
            <w:tcBorders>
              <w:left w:val="single" w:color="auto" w:sz="2" w:space="0"/>
              <w:bottom w:val="single" w:color="auto" w:sz="2" w:space="0"/>
              <w:right w:val="single" w:color="auto" w:sz="2" w:space="0"/>
            </w:tcBorders>
            <w:vAlign w:val="center"/>
          </w:tcPr>
          <w:p w14:paraId="6FA4C11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其他违约责任</w:t>
            </w:r>
          </w:p>
        </w:tc>
        <w:tc>
          <w:tcPr>
            <w:tcW w:w="5170" w:type="dxa"/>
            <w:tcBorders>
              <w:left w:val="single" w:color="auto" w:sz="2" w:space="0"/>
              <w:bottom w:val="single" w:color="auto" w:sz="2" w:space="0"/>
            </w:tcBorders>
            <w:vAlign w:val="center"/>
          </w:tcPr>
          <w:p w14:paraId="7543BB4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u w:val="single"/>
              </w:rPr>
            </w:pPr>
          </w:p>
        </w:tc>
      </w:tr>
      <w:tr w14:paraId="7FBEAA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3DC2372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70F8330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第19.2款</w:t>
            </w:r>
          </w:p>
        </w:tc>
        <w:tc>
          <w:tcPr>
            <w:tcW w:w="1742" w:type="dxa"/>
            <w:tcBorders>
              <w:top w:val="single" w:color="auto" w:sz="2" w:space="0"/>
              <w:left w:val="single" w:color="auto" w:sz="2" w:space="0"/>
              <w:right w:val="single" w:color="auto" w:sz="2" w:space="0"/>
            </w:tcBorders>
            <w:vAlign w:val="center"/>
          </w:tcPr>
          <w:p w14:paraId="64242395">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color w:val="auto"/>
                <w:szCs w:val="21"/>
                <w:highlight w:val="none"/>
              </w:rPr>
              <w:t>解决争议的方法</w:t>
            </w:r>
          </w:p>
        </w:tc>
        <w:tc>
          <w:tcPr>
            <w:tcW w:w="5170" w:type="dxa"/>
            <w:tcBorders>
              <w:top w:val="single" w:color="auto" w:sz="2" w:space="0"/>
              <w:left w:val="single" w:color="auto" w:sz="2" w:space="0"/>
            </w:tcBorders>
            <w:vAlign w:val="center"/>
          </w:tcPr>
          <w:p w14:paraId="5518E363">
            <w:pPr>
              <w:keepNext w:val="0"/>
              <w:keepLines w:val="0"/>
              <w:suppressLineNumbers w:val="0"/>
              <w:autoSpaceDE w:val="0"/>
              <w:autoSpaceDN w:val="0"/>
              <w:adjustRightInd w:val="0"/>
              <w:snapToGrid w:val="0"/>
              <w:spacing w:before="0" w:beforeAutospacing="0" w:after="0" w:afterAutospacing="0" w:line="360" w:lineRule="auto"/>
              <w:ind w:left="0" w:right="0"/>
              <w:jc w:val="left"/>
              <w:rPr>
                <w:rFonts w:hint="default" w:ascii="宋体" w:hAnsi="宋体" w:cs="宋体"/>
                <w:iCs/>
                <w:color w:val="auto"/>
                <w:szCs w:val="21"/>
                <w:highlight w:val="none"/>
              </w:rPr>
            </w:pPr>
            <w:r>
              <w:rPr>
                <w:rFonts w:hint="eastAsia" w:ascii="宋体" w:hAnsi="宋体" w:cs="宋体"/>
                <w:iCs/>
                <w:color w:val="auto"/>
                <w:szCs w:val="21"/>
                <w:highlight w:val="none"/>
              </w:rPr>
              <w:t>因本合同及合同有关事项发生的争议，按下列第种方式解决：</w:t>
            </w:r>
          </w:p>
          <w:p w14:paraId="024A37D0">
            <w:pPr>
              <w:keepNext w:val="0"/>
              <w:keepLines w:val="0"/>
              <w:suppressLineNumbers w:val="0"/>
              <w:autoSpaceDE w:val="0"/>
              <w:autoSpaceDN w:val="0"/>
              <w:adjustRightInd w:val="0"/>
              <w:snapToGrid w:val="0"/>
              <w:spacing w:before="0" w:beforeAutospacing="0" w:after="0" w:afterAutospacing="0" w:line="360" w:lineRule="auto"/>
              <w:ind w:left="0" w:right="0"/>
              <w:jc w:val="left"/>
              <w:rPr>
                <w:rFonts w:hint="default" w:ascii="宋体" w:hAnsi="宋体" w:cs="宋体"/>
                <w:iCs/>
                <w:color w:val="auto"/>
                <w:szCs w:val="21"/>
                <w:highlight w:val="none"/>
              </w:rPr>
            </w:pPr>
            <w:r>
              <w:rPr>
                <w:rFonts w:hint="eastAsia" w:ascii="宋体" w:hAnsi="宋体" w:cs="宋体"/>
                <w:iCs/>
                <w:color w:val="auto"/>
                <w:szCs w:val="21"/>
                <w:highlight w:val="none"/>
              </w:rPr>
              <w:t>（1）向仲裁委员会申请仲裁，仲裁地点为；</w:t>
            </w:r>
          </w:p>
          <w:p w14:paraId="106641F3">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u w:val="single"/>
              </w:rPr>
            </w:pPr>
            <w:r>
              <w:rPr>
                <w:rFonts w:hint="eastAsia" w:ascii="宋体" w:hAnsi="宋体" w:cs="宋体"/>
                <w:iCs/>
                <w:color w:val="auto"/>
                <w:szCs w:val="21"/>
                <w:highlight w:val="none"/>
              </w:rPr>
              <w:t>（2）向人民法院起诉。</w:t>
            </w:r>
          </w:p>
        </w:tc>
      </w:tr>
      <w:tr w14:paraId="475F25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48F5425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第二节</w:t>
            </w:r>
          </w:p>
          <w:p w14:paraId="40277C2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color w:val="auto"/>
                <w:szCs w:val="21"/>
                <w:highlight w:val="none"/>
              </w:rPr>
            </w:pPr>
            <w:r>
              <w:rPr>
                <w:rFonts w:hint="eastAsia" w:ascii="宋体" w:hAnsi="宋体"/>
                <w:color w:val="auto"/>
                <w:szCs w:val="21"/>
                <w:highlight w:val="none"/>
              </w:rPr>
              <w:t>第23.1款</w:t>
            </w:r>
          </w:p>
        </w:tc>
        <w:tc>
          <w:tcPr>
            <w:tcW w:w="1742" w:type="dxa"/>
            <w:vAlign w:val="center"/>
          </w:tcPr>
          <w:p w14:paraId="522BBEF2">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r>
              <w:rPr>
                <w:rFonts w:hint="eastAsia" w:ascii="宋体" w:hAnsi="宋体"/>
                <w:bCs/>
                <w:color w:val="auto"/>
                <w:szCs w:val="21"/>
                <w:highlight w:val="none"/>
              </w:rPr>
              <w:t>其他专用条款</w:t>
            </w:r>
          </w:p>
        </w:tc>
        <w:tc>
          <w:tcPr>
            <w:tcW w:w="5170" w:type="dxa"/>
            <w:vAlign w:val="center"/>
          </w:tcPr>
          <w:p w14:paraId="2E53C0DC">
            <w:pPr>
              <w:keepNext w:val="0"/>
              <w:keepLines w:val="0"/>
              <w:suppressLineNumbers w:val="0"/>
              <w:adjustRightInd w:val="0"/>
              <w:snapToGrid w:val="0"/>
              <w:spacing w:before="0" w:beforeAutospacing="0" w:after="0" w:afterAutospacing="0" w:line="360" w:lineRule="auto"/>
              <w:ind w:left="0" w:right="0"/>
              <w:jc w:val="left"/>
              <w:rPr>
                <w:rFonts w:hint="default" w:ascii="宋体" w:hAnsi="宋体"/>
                <w:color w:val="auto"/>
                <w:szCs w:val="21"/>
                <w:highlight w:val="none"/>
              </w:rPr>
            </w:pPr>
          </w:p>
        </w:tc>
      </w:tr>
    </w:tbl>
    <w:p w14:paraId="6DFA6C07">
      <w:pPr>
        <w:numPr>
          <w:ilvl w:val="255"/>
          <w:numId w:val="0"/>
        </w:numPr>
        <w:spacing w:line="360" w:lineRule="auto"/>
        <w:rPr>
          <w:rFonts w:ascii="宋体" w:hAnsi="宋体" w:cs="宋体"/>
          <w:b/>
          <w:color w:val="auto"/>
          <w:sz w:val="32"/>
          <w:szCs w:val="32"/>
          <w:highlight w:val="none"/>
        </w:rPr>
      </w:pPr>
    </w:p>
    <w:p w14:paraId="3B57C67F">
      <w:pPr>
        <w:numPr>
          <w:ilvl w:val="255"/>
          <w:numId w:val="0"/>
        </w:numPr>
        <w:spacing w:line="360" w:lineRule="auto"/>
        <w:rPr>
          <w:rFonts w:ascii="宋体" w:hAnsi="宋体" w:cs="宋体"/>
          <w:b/>
          <w:color w:val="auto"/>
          <w:sz w:val="24"/>
          <w:szCs w:val="24"/>
          <w:highlight w:val="none"/>
        </w:rPr>
      </w:pPr>
    </w:p>
    <w:p w14:paraId="58B8BF83">
      <w:pPr>
        <w:spacing w:line="360" w:lineRule="auto"/>
        <w:rPr>
          <w:rFonts w:ascii="宋体" w:hAnsi="宋体" w:cs="宋体"/>
          <w:color w:val="auto"/>
          <w:sz w:val="24"/>
          <w:szCs w:val="24"/>
          <w:highlight w:val="none"/>
        </w:rPr>
      </w:pPr>
    </w:p>
    <w:p w14:paraId="42FD5946">
      <w:pPr>
        <w:spacing w:line="360" w:lineRule="auto"/>
        <w:rPr>
          <w:rFonts w:ascii="宋体" w:hAnsi="宋体" w:cs="宋体"/>
          <w:color w:val="auto"/>
          <w:sz w:val="24"/>
          <w:szCs w:val="24"/>
          <w:highlight w:val="none"/>
        </w:rPr>
      </w:pPr>
    </w:p>
    <w:p w14:paraId="63A46737">
      <w:pPr>
        <w:spacing w:line="360" w:lineRule="auto"/>
        <w:ind w:left="-284"/>
        <w:rPr>
          <w:rFonts w:ascii="宋体" w:hAnsi="宋体" w:cs="宋体"/>
          <w:color w:val="auto"/>
          <w:sz w:val="24"/>
          <w:szCs w:val="24"/>
          <w:highlight w:val="none"/>
        </w:rPr>
      </w:pPr>
    </w:p>
    <w:p w14:paraId="1F0E44A4">
      <w:pPr>
        <w:spacing w:line="360" w:lineRule="auto"/>
        <w:rPr>
          <w:rFonts w:hint="eastAsia" w:ascii="宋体" w:hAnsi="宋体" w:eastAsia="宋体" w:cs="宋体"/>
          <w:color w:val="auto"/>
          <w:sz w:val="24"/>
          <w:szCs w:val="24"/>
          <w:highlight w:val="none"/>
        </w:rPr>
      </w:pPr>
    </w:p>
    <w:p w14:paraId="16ED0A40">
      <w:pPr>
        <w:rPr>
          <w:color w:val="auto"/>
          <w:highlight w:val="none"/>
        </w:rPr>
      </w:pPr>
    </w:p>
    <w:sectPr>
      <w:footerReference r:id="rId12"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华文楷体">
    <w:panose1 w:val="02010600040101010101"/>
    <w:charset w:val="86"/>
    <w:family w:val="auto"/>
    <w:pitch w:val="default"/>
    <w:sig w:usb0="00000287" w:usb1="080F0000" w:usb2="00000000" w:usb3="00000000" w:csb0="0004009F" w:csb1="DFD70000"/>
  </w:font>
  <w:font w:name="Helvetica">
    <w:altName w:val="Arial"/>
    <w:panose1 w:val="020B0504020202030204"/>
    <w:charset w:val="00"/>
    <w:family w:val="swiss"/>
    <w:pitch w:val="default"/>
    <w:sig w:usb0="00000000" w:usb1="00000000" w:usb2="00000000" w:usb3="00000000" w:csb0="00000093"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9EED4">
    <w:pPr>
      <w:pStyle w:val="8"/>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F835B">
    <w:pPr>
      <w:pStyle w:val="8"/>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D646">
    <w:pPr>
      <w:pStyle w:val="8"/>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2AE0E">
    <w:pPr>
      <w:pStyle w:val="8"/>
      <w:jc w:val="center"/>
      <w:rPr>
        <w:rFonts w:ascii="宋体" w:hAnsi="宋体"/>
      </w:rPr>
    </w:pPr>
    <w:r>
      <w:rPr>
        <w:rStyle w:val="15"/>
        <w:rFonts w:ascii="宋体" w:hAnsi="宋体"/>
        <w:szCs w:val="20"/>
      </w:rPr>
      <w:t>2-1-</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5</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9998A6">
    <w:pPr>
      <w:pStyle w:val="8"/>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5</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7104A">
    <w:pPr>
      <w:pStyle w:val="8"/>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lang w:val="en-US" w:eastAsia="zh-CN"/>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74F29">
    <w:pPr>
      <w:pStyle w:val="8"/>
      <w:tabs>
        <w:tab w:val="right" w:pos="8460"/>
        <w:tab w:val="clear" w:pos="8306"/>
      </w:tabs>
      <w:ind w:right="-89" w:firstLine="420"/>
      <w:jc w:val="center"/>
      <w:rPr>
        <w:rFonts w:ascii="宋体" w:hAnsi="宋体"/>
      </w:rPr>
    </w:pPr>
    <w:r>
      <w:rPr>
        <w:rFonts w:hint="eastAsia" w:ascii="宋体" w:hAnsi="宋体"/>
        <w:szCs w:val="20"/>
      </w:rPr>
      <w:t>4</w:t>
    </w:r>
    <w:r>
      <w:rPr>
        <w:rFonts w:ascii="宋体" w:hAnsi="宋体"/>
        <w:szCs w:val="20"/>
      </w:rPr>
      <w:t>-</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91AAC">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F2229">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22376">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abstractNum w:abstractNumId="5">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7A0F6431"/>
    <w:multiLevelType w:val="singleLevel"/>
    <w:tmpl w:val="7A0F6431"/>
    <w:lvl w:ilvl="0" w:tentative="0">
      <w:start w:val="1"/>
      <w:numFmt w:val="decimal"/>
      <w:suff w:val="space"/>
      <w:lvlText w:val="%1."/>
      <w:lvlJc w:val="left"/>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67F85"/>
    <w:rsid w:val="0AB319EF"/>
    <w:rsid w:val="0AD81455"/>
    <w:rsid w:val="0DC21F49"/>
    <w:rsid w:val="0DFA5B87"/>
    <w:rsid w:val="0F40288F"/>
    <w:rsid w:val="1EB06519"/>
    <w:rsid w:val="270C05A6"/>
    <w:rsid w:val="2A8D5961"/>
    <w:rsid w:val="33BD393C"/>
    <w:rsid w:val="3A787036"/>
    <w:rsid w:val="3AA52853"/>
    <w:rsid w:val="40356427"/>
    <w:rsid w:val="44F2742F"/>
    <w:rsid w:val="49DA4C2F"/>
    <w:rsid w:val="4E390120"/>
    <w:rsid w:val="52416EAD"/>
    <w:rsid w:val="5F824661"/>
    <w:rsid w:val="6267026A"/>
    <w:rsid w:val="641946C5"/>
    <w:rsid w:val="6F3B4F58"/>
    <w:rsid w:val="77470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next w:val="1"/>
    <w:qFormat/>
    <w:uiPriority w:val="0"/>
    <w:pPr>
      <w:keepNext/>
      <w:keepLines/>
      <w:widowControl w:val="0"/>
      <w:spacing w:before="260" w:after="260" w:line="416" w:lineRule="auto"/>
      <w:jc w:val="both"/>
      <w:outlineLvl w:val="1"/>
    </w:pPr>
    <w:rPr>
      <w:rFonts w:ascii="Arial" w:hAnsi="Arial" w:eastAsia="黑体" w:cs="Times New Roman"/>
      <w:b/>
      <w:bCs/>
      <w:kern w:val="2"/>
      <w:sz w:val="32"/>
      <w:szCs w:val="32"/>
      <w:lang w:val="en-US" w:eastAsia="zh-CN"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Body Text Indent"/>
    <w:basedOn w:val="1"/>
    <w:next w:val="1"/>
    <w:qFormat/>
    <w:uiPriority w:val="0"/>
    <w:pPr>
      <w:ind w:left="420" w:leftChars="200"/>
    </w:pPr>
  </w:style>
  <w:style w:type="paragraph" w:styleId="6">
    <w:name w:val="Plain Text"/>
    <w:basedOn w:val="1"/>
    <w:qFormat/>
    <w:uiPriority w:val="0"/>
    <w:rPr>
      <w:rFonts w:ascii="宋体" w:hAnsi="Courier New"/>
      <w:szCs w:val="20"/>
    </w:rPr>
  </w:style>
  <w:style w:type="paragraph" w:styleId="7">
    <w:name w:val="Body Text Indent 2"/>
    <w:basedOn w:val="1"/>
    <w:qFormat/>
    <w:uiPriority w:val="0"/>
    <w:pPr>
      <w:spacing w:after="120" w:line="480" w:lineRule="auto"/>
      <w:ind w:left="420"/>
    </w:pPr>
    <w:rPr>
      <w:rFonts w:ascii="Times New Roman" w:hAnsi="Times New Roman"/>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1">
    <w:name w:val="Body Text First Indent 2"/>
    <w:basedOn w:val="5"/>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paragraph" w:customStyle="1" w:styleId="16">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8">
    <w:name w:val="列出段落1"/>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72</Pages>
  <Words>0</Words>
  <Characters>0</Characters>
  <Lines>0</Lines>
  <Paragraphs>0</Paragraphs>
  <TotalTime>3</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2025-09-01T08:19:39Z</dcterms:created>
  <dc:creator>user</dc:creator>
  <cp:lastModifiedBy>Richael</cp:lastModifiedBy>
  <dcterms:modified xsi:type="dcterms:W3CDTF">2025-09-01T08:26:28Z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eyJoZGlkIjoiMmQyOGQ4ZWUxYTFmMTAzMjkwNmY0OWZjM2ZiMDFlYjMiLCJ1c2VySWQiOiIxNTIxMzQzMTE2In0=</vt:lpwstr>
  </property>
  <property fmtid="{D5CDD505-2E9C-101B-9397-08002B2CF9AE}" pid="4" name="ICV">
    <vt:lpwstr>D7C481DAB0D943CBAB12D60F8DAEC261_12</vt:lpwstr>
  </property>
</Properties>
</file>